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60" w:lineRule="exact"/>
        <w:ind w:right="1192"/>
        <w:rPr>
          <w:rFonts w:hint="eastAsia" w:ascii="方正黑体_GBK" w:hAnsi="方正黑体_GBK" w:eastAsia="方正黑体_GBK" w:cs="方正黑体_GBK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</w:rPr>
        <w:t>附件2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60" w:lineRule="exact"/>
        <w:ind w:right="1192"/>
        <w:rPr>
          <w:rFonts w:hint="eastAsia" w:ascii="方正黑体_GBK" w:hAnsi="方正黑体_GBK" w:eastAsia="方正黑体_GBK" w:cs="方正黑体_GBK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11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2024年杭州市机床装调维修工（数控机床电气装调维修）职业技能竞赛技术文件</w:t>
      </w:r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微软雅黑" w:cs="Times New Roman"/>
          <w:bCs/>
          <w:spacing w:val="0"/>
          <w:sz w:val="32"/>
          <w:szCs w:val="32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黑体" w:hAnsi="黑体" w:eastAsia="黑体" w:cs="黑体"/>
          <w:b w:val="0"/>
          <w:bCs/>
          <w:spacing w:val="0"/>
          <w:sz w:val="32"/>
          <w:szCs w:val="32"/>
          <w:lang w:val="en-US" w:eastAsia="zh-CN" w:bidi="zh-CN"/>
        </w:rPr>
      </w:pPr>
      <w:bookmarkStart w:id="0" w:name="_Toc19720"/>
      <w:r>
        <w:rPr>
          <w:rFonts w:hint="default" w:ascii="黑体" w:hAnsi="黑体" w:eastAsia="黑体" w:cs="黑体"/>
          <w:b w:val="0"/>
          <w:bCs/>
          <w:spacing w:val="0"/>
          <w:sz w:val="32"/>
          <w:szCs w:val="32"/>
          <w:lang w:val="en-US" w:eastAsia="zh-CN" w:bidi="zh-CN"/>
        </w:rPr>
        <w:t>一、</w:t>
      </w:r>
      <w:bookmarkEnd w:id="0"/>
      <w:r>
        <w:rPr>
          <w:rFonts w:hint="default" w:ascii="黑体" w:hAnsi="黑体" w:eastAsia="黑体" w:cs="黑体"/>
          <w:b w:val="0"/>
          <w:bCs/>
          <w:spacing w:val="0"/>
          <w:sz w:val="32"/>
          <w:szCs w:val="32"/>
          <w:lang w:val="en-US" w:eastAsia="zh-CN" w:bidi="zh-CN"/>
        </w:rPr>
        <w:t>竞赛技术文件制定标准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bookmarkStart w:id="1" w:name="_Toc31295"/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以《机床装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调维修工国家职业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技能标准（2018年版）》高级工（三级）规定为依据，适当增加新知识、新技术、新设备、新技能等相关内容。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 w:bidi="zh-CN"/>
        </w:rPr>
        <w:t>二、竞赛内容</w:t>
      </w:r>
      <w:bookmarkEnd w:id="1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根据职业技能标准，并结合企业实际生产需求，参赛选手需要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独立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完成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理论知识竞赛和操作技能竞赛。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2" w:firstLineChars="200"/>
        <w:jc w:val="both"/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  <w:t>（一）</w:t>
      </w:r>
      <w:r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  <w:t>理论知识竞赛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2" w:firstLineChars="200"/>
        <w:jc w:val="both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  <w:t>1.分值配比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满分100分，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占总成绩3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0%。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2" w:firstLineChars="200"/>
        <w:jc w:val="both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  <w:t>2.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 w:eastAsia="zh-CN"/>
        </w:rPr>
        <w:t>竞赛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  <w:t>内容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以数控机床装配与维修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  <w:t>专业相关知识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为主，机电一体化、电气自动化和机械制造等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  <w:t>专业相关知识为辅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  <w:t>1)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数控装调技术包含：数控机床电气设计与安装；数控机床电气部件装配与接线数控机床故障诊断与维修；数控机床技术改造与功能开发；数控机床精度检测；试切件的编程与加工、工件在线测量等；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  <w:t>2)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电工基础包含：电学基本知识和基本技能、电气工程的基本理论。包括电工基础和电气测量两部分，重点为电工基础部分，包括直流电路、电磁学、交流电路、非正弦电路及过渡过程基本概念、常用电工仪表的基本结构原理及其使用方法；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  <w:t>3)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机械知识包含：机械制图、极限公差与配合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机械基础、机械原理、液压与气动等课程相关内容；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2" w:firstLineChars="200"/>
        <w:jc w:val="both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bidi="zh-CN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bidi="zh-CN"/>
        </w:rPr>
        <w:t>3.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 w:bidi="zh-CN"/>
        </w:rPr>
        <w:t>竞赛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bidi="zh-CN"/>
        </w:rPr>
        <w:t>题型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bidi="zh-CN"/>
        </w:rPr>
        <w:t>考试</w:t>
      </w:r>
      <w:r>
        <w:rPr>
          <w:rFonts w:hint="default" w:ascii="Times New Roman" w:hAnsi="Times New Roman" w:eastAsia="仿宋_GB2312" w:cs="Times New Roman"/>
          <w:bCs w:val="0"/>
          <w:color w:val="auto"/>
          <w:sz w:val="32"/>
          <w:szCs w:val="32"/>
          <w:highlight w:val="none"/>
          <w:lang w:val="zh-CN" w:bidi="zh-CN"/>
        </w:rPr>
        <w:t>总题量180题，单选题140题，每题0.5分，计70分；多选题20题，每题1分，计20分；判断题20题，每题0.5分，计10分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bidi="zh-CN"/>
        </w:rPr>
        <w:t>。其中职业道德和基础知识题目占比10%，专业知识题目占比90%。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2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  <w:t>4.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 w:bidi="zh-CN"/>
        </w:rPr>
        <w:t>竞赛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/>
        </w:rPr>
        <w:t>方式：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理论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知识竞赛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采用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无纸化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机考作答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2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/>
        </w:rPr>
        <w:t>5.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 w:bidi="zh-CN"/>
        </w:rPr>
        <w:t>竞赛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  <w:t>时间：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90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分钟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2" w:firstLineChars="200"/>
        <w:jc w:val="both"/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  <w:t>（二）</w:t>
      </w:r>
      <w:r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  <w:t>操作技能竞赛</w:t>
      </w:r>
      <w:bookmarkStart w:id="2" w:name="_Toc23811"/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2" w:firstLineChars="200"/>
        <w:jc w:val="both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  <w:t>1.分值配比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满分100分，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  <w:t>占总成绩7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0%。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2" w:firstLineChars="200"/>
        <w:jc w:val="both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  <w:t>2.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 w:bidi="zh-CN"/>
        </w:rPr>
        <w:t>竞赛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  <w:t>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eastAsia="zh-CN" w:bidi="zh-CN"/>
        </w:rPr>
        <w:t>本赛项采取单人比赛的形式进行共有两项考核内容构成。其中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bidi="zh-CN"/>
        </w:rPr>
        <w:t>实操分两个模块，模块一：以考核模拟机床电气线路安装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eastAsia="zh-CN" w:bidi="zh-CN"/>
        </w:rPr>
        <w:t>与调试，占实操分65%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bidi="zh-CN"/>
        </w:rPr>
        <w:t>；模块二：光机电设备进行故障排除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eastAsia="zh-CN" w:bidi="zh-CN"/>
        </w:rPr>
        <w:t>，占实操分35%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bidi="zh-CN"/>
        </w:rPr>
        <w:t>，包括仪器仪表使用及安全文明生产在实际操作竞赛过程中的考查；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2" w:firstLineChars="20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  <w:t>3.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 w:bidi="zh-CN"/>
        </w:rPr>
        <w:t>竞赛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/>
        </w:rPr>
        <w:t>题型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考试题型选手根据赛项任务书的要求进行操作，需要裁判确认的内容必须举手经过裁判员的确认。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2" w:firstLineChars="20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/>
        </w:rPr>
        <w:t>4.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 w:bidi="zh-CN"/>
        </w:rPr>
        <w:t>竞赛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/>
        </w:rPr>
        <w:t>方式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实操部分选手在竞赛平台上完成工作任务。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2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/>
        </w:rPr>
        <w:t>5.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 w:bidi="zh-CN"/>
        </w:rPr>
        <w:t>竞赛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  <w:t>时间：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120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分钟</w:t>
      </w:r>
    </w:p>
    <w:bookmarkEnd w:id="2"/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2" w:firstLineChars="200"/>
        <w:jc w:val="both"/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</w:pPr>
      <w:bookmarkStart w:id="3" w:name="_Toc9507"/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  <w:t>（三）</w:t>
      </w:r>
      <w:r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  <w:t>评判标准</w:t>
      </w:r>
      <w:bookmarkEnd w:id="3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赛项裁判组负责赛项成绩评定工作，设裁判长1名，全面负责赛项的裁判和管理工作；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理论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知识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评分，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机考平台自动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评分、核分，最后记录成绩；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3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操作技能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评分，参赛选手根据赛项任务书的要求进行操作，需要裁判确认的内容必须举手经过裁判员的确认，否则不得分；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4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操作技能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评分方法为过程评分和结果评分两类，根据裁判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赛项评分标准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，评定成绩。所有评分材料须由相应评分裁判、裁判长确认；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5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赛项裁判组本着“公平、公正、公开、科学、规范、透明、无异议”的原则，根据裁判的现场记录、参赛队选手的赛项任务书及评分标准，评定成绩；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6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裁判的分组由裁判长负责。无相应执裁任务的裁判不得进入选手工位。选手按照裁判的指令展示评分项描述的功能；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黑体" w:hAnsi="黑体" w:eastAsia="黑体" w:cs="黑体"/>
          <w:b w:val="0"/>
          <w:bCs w:val="0"/>
          <w:spacing w:val="0"/>
          <w:sz w:val="32"/>
          <w:szCs w:val="32"/>
          <w:lang w:val="en-US" w:eastAsia="zh-CN" w:bidi="zh-CN"/>
        </w:rPr>
      </w:pPr>
      <w:r>
        <w:rPr>
          <w:rFonts w:hint="default" w:ascii="黑体" w:hAnsi="黑体" w:eastAsia="黑体" w:cs="黑体"/>
          <w:b w:val="0"/>
          <w:bCs w:val="0"/>
          <w:spacing w:val="0"/>
          <w:sz w:val="32"/>
          <w:szCs w:val="32"/>
          <w:lang w:val="en-US" w:eastAsia="zh-CN" w:bidi="zh-CN"/>
        </w:rPr>
        <w:t>三、竞赛成绩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2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  <w:t>（一）计分规则：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总成绩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（保留两位小数）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=理论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知识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成绩×30%+操作技能成绩×70%；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2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FF0000"/>
          <w:spacing w:val="0"/>
          <w:sz w:val="32"/>
          <w:szCs w:val="32"/>
          <w:lang w:val="en-US"/>
        </w:rPr>
      </w:pPr>
      <w:r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  <w:t>（二）排名规则：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理论、技能双合格参与排名，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按总成绩由高到低排序，总成绩相同则以操作技能成绩高的名次在前；总成绩相同且操作技能成绩也相同的，则以模块一：模拟机床电气线路安装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与调试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成绩高低排名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 w:bidi="zh-CN"/>
        </w:rPr>
      </w:pPr>
      <w:bookmarkStart w:id="4" w:name="_Toc18970"/>
      <w:r>
        <w:rPr>
          <w:rFonts w:hint="default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 w:bidi="zh-CN"/>
        </w:rPr>
        <w:t>四、</w:t>
      </w:r>
      <w:bookmarkEnd w:id="4"/>
      <w:r>
        <w:rPr>
          <w:rFonts w:hint="default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 w:bidi="zh-CN"/>
        </w:rPr>
        <w:t>竞赛流程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2" w:firstLineChars="20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</w:pPr>
      <w:bookmarkStart w:id="5" w:name="_Toc20996"/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  <w:t>1.赛前</w:t>
      </w:r>
      <w:bookmarkEnd w:id="5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①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参赛选手报到时领取参赛证，根据竞赛指南的安排按时领取参赛资料，熟悉场地；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eastAsia="zh-CN"/>
        </w:rPr>
        <w:t>②理论竞赛赛前50分钟，到指定地点进行抽签、编号。赛前30分钟，到指定检录口进行检录，由检录人员核实，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开赛后迟到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分钟的选手视为自动放弃参赛；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③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eastAsia="zh-CN"/>
        </w:rPr>
        <w:t>实操竞赛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赛前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eastAsia="zh-CN"/>
        </w:rPr>
        <w:t>40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分钟，到指定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eastAsia="zh-CN"/>
        </w:rPr>
        <w:t>地点进行批次号抽签。赛前20分钟，到指定检录口进行检录，由检录人员核实后再进行本批次实操竞赛选手的工位抽签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eastAsia="zh-CN"/>
        </w:rPr>
        <w:t>其他批次的选手和领队前往备考室备考，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开赛后迟到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zh-CN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分钟的选手视为自动放弃参赛；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④检录、加密完毕，每位选手按照确定的工位号到指定位置。所有通讯、照相、摄像、储存设备等工具一律不得带入比赛现场，如有发现按违规作弊处理。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⑤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zh-CN" w:eastAsia="zh-CN"/>
        </w:rPr>
        <w:t>参赛选手应注意自身形象、举止文明，应做到衣帽清洁，保持良好的个人卫生习惯；着装、自带用品的外观上不应显示选手所在单位等个人信息。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zh-CN"/>
        </w:rPr>
      </w:pPr>
      <w:bookmarkStart w:id="6" w:name="_Toc26832"/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zh-CN"/>
        </w:rPr>
        <w:t>2.赛中</w:t>
      </w:r>
      <w:bookmarkEnd w:id="6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①由裁判长统一告知选手比赛规则、时间和流程后，裁判长宣布比赛正式开始并计时；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②竞赛过程中严禁交头接耳，也不能相互借用工具、仪器仪表；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③各参赛选手间不能走动、交谈；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④比赛过程中，选手若需休息、饮水或去洗手间，一律计算在操作时间内。选手进入赛场后，不得擅自离开赛场，因病或其他原因离开赛场或终止比赛，应向裁判示意，须经赛场裁判长同意，并在赛场记录表上签字确认后，方可离开赛场并在赛场工作人员指引下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离开赛场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⑤选手须按照程序提交比赛结果，配合裁判做好赛场情况记录，并签字确认；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⑥裁判长发布比赛结束指令后参赛选手立即停止操作，不得以任何理由拖延竞赛时间；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⑦选手在进行计算机编程时要及时存盘，避免突然停电造成数据丢失。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2" w:firstLineChars="20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</w:pPr>
      <w:bookmarkStart w:id="7" w:name="_Toc1526"/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/>
        </w:rPr>
        <w:t>3.赛后</w:t>
      </w:r>
      <w:bookmarkEnd w:id="7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①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裁判长在比赛结束前 15 分钟提醒选手，裁判长发布“比赛结束”指令后，所有参赛选手立即停止操作，比赛正式结束，参赛选手按要求清理赛位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lef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汉仪书宋二S" w:cs="Times New Roman"/>
          <w:spacing w:val="0"/>
          <w:sz w:val="32"/>
          <w:szCs w:val="32"/>
        </w:rPr>
        <w:t>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参赛选手比赛结束时需按照比赛要求立即提交比赛结果（赛卷记录表），裁判员与参赛选手要在相应签字处签字确认。赛卷留在赛位上，不得带出场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汉仪书宋二S" w:cs="Times New Roman"/>
          <w:spacing w:val="0"/>
          <w:sz w:val="32"/>
          <w:szCs w:val="32"/>
        </w:rPr>
        <w:t>③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比赛结束后，做好比赛设备的整理工作，包括设备移动部位的复位，整理工具及个人物品。经工作人员现场清点检查数控机床和工、量具后，参赛队方可离开赛位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汉仪书宋二S" w:cs="Times New Roman"/>
          <w:spacing w:val="0"/>
          <w:sz w:val="32"/>
          <w:szCs w:val="32"/>
        </w:rPr>
        <w:t>④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参赛选手不得将赛项任务书、图纸、草稿纸和赛场工具等与比赛有关的物品带离赛场，选手必须经现场裁判员检查许可后方能离开赛场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⑤做好选手对竞赛结果发生争议的仲裁处理,进行技术讲评等。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黑体" w:hAnsi="黑体" w:eastAsia="黑体" w:cs="黑体"/>
          <w:b w:val="0"/>
          <w:bCs w:val="0"/>
          <w:spacing w:val="0"/>
          <w:sz w:val="32"/>
          <w:szCs w:val="32"/>
          <w:lang w:val="en-US" w:eastAsia="zh-CN" w:bidi="zh-CN"/>
        </w:rPr>
      </w:pPr>
      <w:bookmarkStart w:id="8" w:name="_Toc3177"/>
      <w:r>
        <w:rPr>
          <w:rFonts w:hint="default" w:ascii="黑体" w:hAnsi="黑体" w:eastAsia="黑体" w:cs="黑体"/>
          <w:b w:val="0"/>
          <w:bCs w:val="0"/>
          <w:spacing w:val="0"/>
          <w:sz w:val="32"/>
          <w:szCs w:val="32"/>
          <w:lang w:val="en-US" w:eastAsia="zh-CN" w:bidi="zh-CN"/>
        </w:rPr>
        <w:t>五、竞赛场地、设施设备等安排</w:t>
      </w:r>
      <w:bookmarkEnd w:id="8"/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2" w:firstLineChars="200"/>
        <w:jc w:val="both"/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</w:pPr>
      <w:bookmarkStart w:id="9" w:name="_Toc32210"/>
      <w:r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  <w:t>（一）竞赛场规格要求</w:t>
      </w:r>
      <w:bookmarkEnd w:id="9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①竞赛区域净空高度不低于3.5m，采光、照明和通风良好，环境温度、湿度符合设备使用规定，同时满足选手的正常竞赛要求；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②赛场主通道宽3m以上，符合紧急疏散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通道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③赛场提供稳定的水、电、气源和供电应急设备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④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各单元均提供三相交流380V电源供电设备，单相交流220V电源及0.7Mpa压缩空气气源，并为每位参赛选手提供安全帽；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⑤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赛场设维修服务、医疗、生活补给站等公共服务区，为选手和赛场人员提供服务；设有安全通道，大赛观摩、采访人员在安全通道内活动，保证大赛安全有序进行；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⑥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赛事单元相对独立，确保选手独立开展竞赛，不受外界影响；赛区内包括厕所、医疗点、维修服务站、生活补给站等都在警戒线范围内，确保大赛在相对安全环境内进行；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⑦实操竞赛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场地可容纳至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少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/>
        </w:rPr>
        <w:t>0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 xml:space="preserve">名选手同时比赛，且满足赛项比赛所需的设备设施；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Autospacing="0" w:line="590" w:lineRule="exact"/>
        <w:ind w:firstLine="642" w:firstLineChars="200"/>
        <w:jc w:val="both"/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</w:pPr>
      <w:bookmarkStart w:id="10" w:name="_Toc28320"/>
      <w:r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  <w:t>（二）</w:t>
      </w:r>
      <w:bookmarkEnd w:id="10"/>
      <w:r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 w:bidi="zh-CN"/>
        </w:rPr>
        <w:t>赛场准备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本次大赛的竞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</w:rPr>
        <w:t>赛技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术平台统一采用机床电气装配实训装置平台。设备主要功能参数如下：</w:t>
      </w:r>
    </w:p>
    <w:tbl>
      <w:tblPr>
        <w:tblStyle w:val="18"/>
        <w:tblW w:w="850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780"/>
        <w:gridCol w:w="1528"/>
        <w:gridCol w:w="857"/>
        <w:gridCol w:w="53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10" w:hRule="atLeast"/>
          <w:tblHeader/>
          <w:jc w:val="center"/>
        </w:trPr>
        <w:tc>
          <w:tcPr>
            <w:tcW w:w="78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528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pacing w:val="-2"/>
                <w:sz w:val="24"/>
                <w:szCs w:val="24"/>
              </w:rPr>
              <w:t>组件名称</w:t>
            </w:r>
          </w:p>
        </w:tc>
        <w:tc>
          <w:tcPr>
            <w:tcW w:w="8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pacing w:val="-2"/>
                <w:sz w:val="24"/>
                <w:szCs w:val="24"/>
              </w:rPr>
              <w:t>数量</w:t>
            </w:r>
          </w:p>
        </w:tc>
        <w:tc>
          <w:tcPr>
            <w:tcW w:w="533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pacing w:val="-2"/>
                <w:sz w:val="24"/>
                <w:szCs w:val="24"/>
              </w:rPr>
              <w:t>详细技术参数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617" w:hRule="atLeast"/>
          <w:jc w:val="center"/>
        </w:trPr>
        <w:tc>
          <w:tcPr>
            <w:tcW w:w="78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528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机床电气装配实训装置</w:t>
            </w:r>
          </w:p>
        </w:tc>
        <w:tc>
          <w:tcPr>
            <w:tcW w:w="8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1套</w:t>
            </w:r>
          </w:p>
        </w:tc>
        <w:tc>
          <w:tcPr>
            <w:tcW w:w="5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仿宋_GB2312" w:cs="Times New Roman"/>
                <w:spacing w:val="-2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lang w:eastAsia="en-US"/>
              </w:rPr>
              <w:t>外形尺寸：1680mm×750mm×1630mm 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仿宋_GB2312" w:cs="Times New Roman"/>
                <w:spacing w:val="-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材    料：钢铝结构；符合国家相关环保要求；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仿宋_GB2312" w:cs="Times New Roman"/>
                <w:spacing w:val="-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输入电压：AC  380 V±10%  50 Hz  三相五线；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仿宋_GB2312" w:cs="Times New Roman"/>
                <w:spacing w:val="-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容    量：＜1.5 kVA；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实 验 屏：用于挂置网孔挂板，安装元件。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834" w:hRule="atLeast"/>
          <w:jc w:val="center"/>
        </w:trPr>
        <w:tc>
          <w:tcPr>
            <w:tcW w:w="78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528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送料装置</w:t>
            </w:r>
          </w:p>
        </w:tc>
        <w:tc>
          <w:tcPr>
            <w:tcW w:w="8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1套</w:t>
            </w:r>
          </w:p>
        </w:tc>
        <w:tc>
          <w:tcPr>
            <w:tcW w:w="533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圆型的送料盘，边缘开有一出料口；通过送料盘机架与实训台固定；送料盘底部装有直流减速电机，作为旋转动力，并通过连轴器与送料盘内部的螺旋叶片连接；送料槽其一段与出料口相连接。调整立柱上装有一载料台，高度与出料口平齐，通过光电传感器检测是否有物料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422" w:hRule="atLeast"/>
          <w:jc w:val="center"/>
        </w:trPr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lang w:eastAsia="en-US"/>
              </w:rPr>
              <w:t>3</w:t>
            </w:r>
          </w:p>
        </w:tc>
        <w:tc>
          <w:tcPr>
            <w:tcW w:w="1528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搬运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装置</w:t>
            </w:r>
          </w:p>
        </w:tc>
        <w:tc>
          <w:tcPr>
            <w:tcW w:w="8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1套</w:t>
            </w:r>
          </w:p>
        </w:tc>
        <w:tc>
          <w:tcPr>
            <w:tcW w:w="5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四自由度气动机械手，气缸及附属传感器；气动手臂两侧装有2个限位挡板，挡板上装有电感传感器、缓冲阀，进行对手臂的旋转限位。整个搬运机构能完成四个自由度动作，手臂伸缩、手臂旋转、手爪上下、手爪松紧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587" w:hRule="atLeast"/>
          <w:jc w:val="center"/>
        </w:trPr>
        <w:tc>
          <w:tcPr>
            <w:tcW w:w="78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528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物料分拣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装置</w:t>
            </w:r>
          </w:p>
        </w:tc>
        <w:tc>
          <w:tcPr>
            <w:tcW w:w="8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1套</w:t>
            </w:r>
          </w:p>
        </w:tc>
        <w:tc>
          <w:tcPr>
            <w:tcW w:w="533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传送带通过三相异步电动机驱动，在传送带端点处设计有落料口，通过光电传感器检测物料；传送带上装有三个出料槽，对应位置有电感传感器、光纤传感器等同时正对料槽位置装有推料气缸，共计三个气缸。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传送带采用可拆卸的铝合金支架。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112" w:hRule="atLeast"/>
          <w:jc w:val="center"/>
        </w:trPr>
        <w:tc>
          <w:tcPr>
            <w:tcW w:w="78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528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PLC、变频器及触摸屏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模块</w:t>
            </w:r>
          </w:p>
        </w:tc>
        <w:tc>
          <w:tcPr>
            <w:tcW w:w="8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1套</w:t>
            </w:r>
          </w:p>
        </w:tc>
        <w:tc>
          <w:tcPr>
            <w:tcW w:w="533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PLC为三菱FX3U-48MR；变频器采用三菱E840；人机界面采用昆仑通态7寸彩色触摸屏，配套安装支架，支架可固定与实训台架铝合金台面上。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90" w:lineRule="exact"/>
        <w:ind w:firstLine="640" w:firstLineChars="200"/>
        <w:jc w:val="both"/>
        <w:textAlignment w:val="baseline"/>
        <w:rPr>
          <w:rFonts w:hint="default" w:ascii="黑体" w:hAnsi="黑体" w:eastAsia="黑体" w:cs="黑体"/>
          <w:b w:val="0"/>
          <w:bCs/>
          <w:spacing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  <w:lang w:val="en-US" w:eastAsia="zh-CN" w:bidi="zh-CN"/>
        </w:rPr>
        <w:t>六、</w:t>
      </w: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lang w:val="en-US" w:eastAsia="zh-CN" w:bidi="zh-CN"/>
        </w:rPr>
        <w:t>申诉和仲裁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大赛期间，与大赛有关的问题或争议，各方应通过正当渠道并按程序反映和申诉，不得擅自传播、扩散未经核查证实的言论、信息。对竞赛期间出现的问题或争议按以下程序解决：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1.组委会成立申诉仲裁组，负责受理书面申诉，及时解决竞赛过程产生中的争议。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2.参赛选手对不符合竞赛规定的情况，有失公正的评判，以及其他的违规行为，均可提出申诉。申诉应在竞赛结束后2小时内提出，超时不予受理。申诉时应按照规定的程序递交书面报告，申诉仲裁组受理后提出处理意见，并通过竞赛组委会审批，作为此项争议的最后处理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3.大赛项目内解决。参赛选手、裁判员发现竞赛过程中存在问题或争议，应向裁判长反映。裁判长依据相关规定处理或组织比赛现场裁判员研究解决。处理意见需经比赛现场全体裁判员表决的，须过半数全体裁判员通过。最终处理意见应及时告知意见反映人，并填写《争议处理记录表》。处理期间，技术专家组应给予支持和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4.申诉仲裁组解决。对项目内处理结果有异议的，在参赛选手成绩最终确认锁定前，领队可向申诉仲裁组出具署名的书面反映材料并举证。申诉仲裁组受理并开展调查。其中，经调查确认所反映情况属技术性问题的，仍交由竞赛项目内解决。属非技术性问题的，由申诉仲裁组作最终裁决。各类问题或争议处理情况，填写《争议处理记录表》。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  <w:lang w:val="en-US" w:eastAsia="zh-CN" w:bidi="ar"/>
        </w:rPr>
        <w:t>七、</w:t>
      </w:r>
      <w:r>
        <w:rPr>
          <w:rFonts w:hint="eastAsia" w:ascii="黑体" w:hAnsi="黑体" w:eastAsia="黑体" w:cs="黑体"/>
          <w:b w:val="0"/>
          <w:bCs/>
          <w:color w:val="000000"/>
          <w:spacing w:val="0"/>
          <w:sz w:val="32"/>
          <w:szCs w:val="32"/>
        </w:rPr>
        <w:t>赛项安全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auto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赛事安全是技能竞赛顺利开展的先决条件，是赛事筹备和运行工作的核心问题。赛项严格执行《202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zh-CN" w:eastAsia="zh-CN" w:bidi="zh-CN"/>
        </w:rPr>
        <w:t>1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年全国职业院校技能大赛制度汇编》中的安全管理规定，确保大赛期间参赛选手、指导教师、裁判员、工作人员的人身安全。管理要求主要包括：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2" w:firstLineChars="200"/>
        <w:jc w:val="both"/>
        <w:textAlignment w:val="auto"/>
        <w:outlineLvl w:val="2"/>
        <w:rPr>
          <w:rFonts w:hint="default" w:ascii="楷体_GB2312" w:hAnsi="楷体_GB2312" w:eastAsia="楷体_GB2312" w:cs="楷体_GB2312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楷体_GB2312" w:hAnsi="楷体_GB2312" w:eastAsia="楷体_GB2312" w:cs="楷体_GB2312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  <w:t>（一）成立安全组织机构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1.赛项成立安全管理机构，负责本赛项筹备和比赛期间的各项安全工作，赛项执委会主任为赛项第一安全责任人。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2.赛项制定安全管理的相应规范、流程和突发事件应急预案，保证比赛筹备和实施全过程的安全。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2" w:firstLineChars="200"/>
        <w:jc w:val="both"/>
        <w:textAlignment w:val="auto"/>
        <w:outlineLvl w:val="2"/>
        <w:rPr>
          <w:rFonts w:hint="default" w:ascii="楷体_GB2312" w:hAnsi="楷体_GB2312" w:eastAsia="楷体_GB2312" w:cs="楷体_GB2312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楷体_GB2312" w:hAnsi="楷体_GB2312" w:eastAsia="楷体_GB2312" w:cs="楷体_GB2312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  <w:t>（二）赛项安全管理要求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1.比赛内容涉及的器材、设备应符合国家有关安全规定。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2.赛项技术文件应包含国家（或行业）有关职业岗位安全的规范、条例等内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3.赛前对选手、裁判、工作人员进行相关安全培训，避免发生人身伤害事故。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4.赛项执委会制定专门方案保证比赛命题以及赛题保管、发放、回收和评判过程的安全。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2" w:firstLineChars="200"/>
        <w:jc w:val="both"/>
        <w:textAlignment w:val="auto"/>
        <w:outlineLvl w:val="2"/>
        <w:rPr>
          <w:rFonts w:hint="default" w:ascii="楷体_GB2312" w:hAnsi="楷体_GB2312" w:eastAsia="楷体_GB2312" w:cs="楷体_GB2312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楷体_GB2312" w:hAnsi="楷体_GB2312" w:eastAsia="楷体_GB2312" w:cs="楷体_GB2312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  <w:t>（三）比赛环境安全管理要求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1.赛项执委会在赛前组织专人对比赛现场、住宿场所和交通保障进行考察指导，赛场的布置，赛场内的器材、设备，应符合国家 有关安全规定。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2.赛场设置医疗医护工作站，赛场周围要设立警戒线，比赛现场要求为选手提供必要的劳动保护，承办院校提供保障应急预案实施的条件，防止发生意外事件。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eastAsia="zh-CN" w:bidi="zh-CN"/>
        </w:rPr>
        <w:t>3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.选手、裁判、工作人员严禁携带通讯、摄录设备进入比赛区域。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2" w:firstLineChars="200"/>
        <w:jc w:val="both"/>
        <w:textAlignment w:val="auto"/>
        <w:outlineLvl w:val="2"/>
        <w:rPr>
          <w:rFonts w:hint="default" w:ascii="楷体_GB2312" w:hAnsi="楷体_GB2312" w:eastAsia="楷体_GB2312" w:cs="楷体_GB2312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楷体_GB2312" w:hAnsi="楷体_GB2312" w:eastAsia="楷体_GB2312" w:cs="楷体_GB2312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  <w:t>（四）生活条件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1.比赛期间，原则上由赛项承办院校统一安排选手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eastAsia="zh-CN" w:bidi="zh-CN"/>
        </w:rPr>
        <w:t>餐食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  <w:t>2.赛项执委会和承办院校须保证比赛期间选手、裁判员和工作人员的交通安全。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2" w:firstLineChars="200"/>
        <w:jc w:val="both"/>
        <w:textAlignment w:val="auto"/>
        <w:outlineLvl w:val="2"/>
        <w:rPr>
          <w:rFonts w:hint="default" w:ascii="楷体_GB2312" w:hAnsi="楷体_GB2312" w:eastAsia="楷体_GB2312" w:cs="楷体_GB2312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楷体_GB2312" w:hAnsi="楷体_GB2312" w:eastAsia="楷体_GB2312" w:cs="楷体_GB2312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  <w:t>（五）应急处理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 xml:space="preserve">1.比赛期间发生意外事故时，发现者应在第一时间报告赛项执委会，同时采取措施，避免事态扩大。赛项执委会应立即启动预案予以解决并向赛区执委会报告。出现重大安全问题的赛项可以停赛，是否停赛由赛区执委会决定。事后，赛区执委会应向大赛执委会报告详细情况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2.出现安全事故，首先追究赛项相关责任人的责任。赛事工作人员违规的，按照相应的制度追究责任。情节严重并造成重大安全事故的，报相关部门按相关政策法规追究相应责任。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2" w:firstLineChars="200"/>
        <w:jc w:val="both"/>
        <w:textAlignment w:val="auto"/>
        <w:outlineLvl w:val="2"/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楷体_GB2312" w:hAnsi="楷体_GB2312" w:eastAsia="楷体_GB2312" w:cs="楷体_GB2312"/>
          <w:b/>
          <w:bCs/>
          <w:spacing w:val="0"/>
          <w:kern w:val="0"/>
          <w:sz w:val="32"/>
          <w:szCs w:val="32"/>
          <w:lang w:val="en-US" w:eastAsia="zh-CN" w:bidi="ar"/>
        </w:rPr>
        <w:t>六</w:t>
      </w:r>
      <w:r>
        <w:rPr>
          <w:rFonts w:hint="eastAsia" w:ascii="楷体_GB2312" w:hAnsi="楷体_GB2312" w:eastAsia="楷体_GB2312" w:cs="楷体_GB2312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  <w:t xml:space="preserve">）处罚措施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1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zh-CN" w:eastAsia="zh-CN" w:bidi="zh-CN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 xml:space="preserve">因参赛选手原因造成重大安全事故的，取消其参赛资格。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2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zh-CN" w:eastAsia="zh-CN" w:bidi="zh-CN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 xml:space="preserve">参赛选手有发生重大安全事故隐患，经赛场工作人员提示、警告无效的，可取消其继续比赛的资格。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3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zh-CN" w:eastAsia="zh-CN" w:bidi="zh-CN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赛事工作人员违规的，按照相应的制度追究责任。情节恶劣并造成重大安全事故的，由司法机关追究相应法律责任。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560" w:firstLineChars="200"/>
        <w:jc w:val="both"/>
        <w:textAlignment w:val="auto"/>
        <w:outlineLvl w:val="9"/>
        <w:rPr>
          <w:rFonts w:ascii="仿宋" w:hAnsi="仿宋" w:eastAsia="仿宋" w:cs="仿宋"/>
          <w:sz w:val="28"/>
          <w:szCs w:val="28"/>
          <w:lang w:bidi="ar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65" w:afterAutospacing="0" w:line="314" w:lineRule="auto"/>
        <w:ind w:left="137" w:right="119" w:firstLine="574"/>
        <w:outlineLvl w:val="9"/>
        <w:rPr>
          <w:rFonts w:ascii="仿宋" w:hAnsi="仿宋" w:eastAsia="仿宋" w:cs="仿宋"/>
          <w:sz w:val="28"/>
          <w:szCs w:val="28"/>
          <w:lang w:bidi="ar"/>
        </w:rPr>
        <w:sectPr>
          <w:footerReference r:id="rId5" w:type="default"/>
          <w:pgSz w:w="11906" w:h="16839"/>
          <w:pgMar w:top="1644" w:right="1587" w:bottom="1587" w:left="1587" w:header="0" w:footer="1104" w:gutter="0"/>
          <w:pgNumType w:fmt="decimal"/>
          <w:cols w:space="720" w:num="1"/>
        </w:sect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  <w:t>七、安全、健康规定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1.比赛期间，做好安全保卫，防止火灾、盗窃现象发生，控制无关人员进入，确保与会期间的人身财产安全。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2.大赛前应检查赛区用电线路；比赛期间应巡视用电线路及配电、开关，以便及时发现问题、解决问题。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3.要增强责任意识，严格检查进出车辆及人员，禁止与比赛无关的机动车进入赛区；禁止闲杂人员进校。防止不法分子乘机混入赛区内作案。发现异常情况，及时报告。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4.参赛人员应在确保人身健康的前提下参加竞赛。进入竞赛区域，应严格按照相关安全规定和安全规范要求。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5.大赛时遇有突发事件发生时，裁判长有权决定停止或部分停止赛事的进行并及时上报大赛组委会。赛事的恢复须报组委会批准。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zh-CN" w:eastAsia="zh-CN" w:bidi="zh-CN"/>
        </w:rPr>
        <w:t>6.赛场按规定预留安全疏散通道，配备应急处置设施设备和人员。</w:t>
      </w:r>
    </w:p>
    <w:p>
      <w:pPr>
        <w:spacing w:line="580" w:lineRule="exact"/>
        <w:ind w:firstLine="642" w:firstLineChars="200"/>
        <w:jc w:val="both"/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本技术文件条款的最终解释权归组委会所有。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Autospacing="0" w:line="590" w:lineRule="exact"/>
        <w:jc w:val="both"/>
        <w:rPr>
          <w:rFonts w:ascii="Times New Roman" w:hAnsi="Times New Roman" w:eastAsia="仿宋_GB2312" w:cs="Times New Roman"/>
          <w:sz w:val="32"/>
          <w:szCs w:val="32"/>
          <w:highlight w:val="yellow"/>
        </w:rPr>
      </w:pPr>
    </w:p>
    <w:p>
      <w:pPr>
        <w:rPr>
          <w:rFonts w:hint="eastAsia" w:ascii="黑体" w:hAnsi="黑体" w:eastAsia="黑体" w:cs="黑体"/>
          <w:kern w:val="2"/>
          <w:sz w:val="32"/>
          <w:szCs w:val="32"/>
          <w:highlight w:val="none"/>
        </w:rPr>
      </w:pPr>
    </w:p>
    <w:p>
      <w:pPr>
        <w:rPr>
          <w:rFonts w:hint="eastAsia" w:ascii="黑体" w:hAnsi="黑体" w:eastAsia="黑体" w:cs="黑体"/>
          <w:kern w:val="2"/>
          <w:sz w:val="32"/>
          <w:szCs w:val="32"/>
          <w:highlight w:val="none"/>
        </w:rPr>
      </w:pPr>
    </w:p>
    <w:p>
      <w:pPr>
        <w:rPr>
          <w:rFonts w:hint="eastAsia" w:ascii="黑体" w:hAnsi="黑体" w:eastAsia="黑体" w:cs="黑体"/>
          <w:kern w:val="2"/>
          <w:sz w:val="32"/>
          <w:szCs w:val="32"/>
          <w:highlight w:val="none"/>
        </w:rPr>
      </w:pPr>
    </w:p>
    <w:p>
      <w:pPr>
        <w:rPr>
          <w:rFonts w:hint="eastAsia" w:ascii="黑体" w:hAnsi="黑体" w:eastAsia="黑体" w:cs="黑体"/>
          <w:kern w:val="2"/>
          <w:sz w:val="32"/>
          <w:szCs w:val="32"/>
          <w:highlight w:val="none"/>
        </w:rPr>
      </w:pPr>
    </w:p>
    <w:p>
      <w:pPr>
        <w:pStyle w:val="2"/>
        <w:rPr>
          <w:rFonts w:hint="eastAsia"/>
        </w:rPr>
      </w:pPr>
    </w:p>
    <w:p>
      <w:pPr>
        <w:rPr>
          <w:rFonts w:hint="eastAsia" w:ascii="黑体" w:hAnsi="黑体" w:eastAsia="黑体" w:cs="黑体"/>
          <w:kern w:val="2"/>
          <w:sz w:val="32"/>
          <w:szCs w:val="32"/>
          <w:highlight w:val="none"/>
        </w:rPr>
      </w:pPr>
    </w:p>
    <w:p>
      <w:pPr>
        <w:rPr>
          <w:rFonts w:hint="eastAsia" w:ascii="黑体" w:hAnsi="黑体" w:eastAsia="黑体" w:cs="黑体"/>
          <w:kern w:val="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72" w:firstLineChars="200"/>
        <w:textAlignment w:val="baseline"/>
        <w:rPr>
          <w:rFonts w:hint="eastAsia" w:ascii="仿宋" w:hAnsi="仿宋" w:eastAsia="仿宋" w:cs="仿宋"/>
          <w:color w:val="auto"/>
          <w:spacing w:val="8"/>
          <w:sz w:val="32"/>
          <w:szCs w:val="32"/>
          <w:highlight w:val="none"/>
          <w:lang w:val="en-US" w:eastAsia="zh-CN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书宋二S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4105"/>
      <w:rPr>
        <w:rFonts w:ascii="Times New Roman" w:hAnsi="Times New Roman" w:eastAsia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zZTBjYjYzYjY1ZDE4YmUxNzQ0NDQ0MTFhMTJkZWEifQ=="/>
  </w:docVars>
  <w:rsids>
    <w:rsidRoot w:val="0FA12A1D"/>
    <w:rsid w:val="00CB490F"/>
    <w:rsid w:val="03487C40"/>
    <w:rsid w:val="045370A8"/>
    <w:rsid w:val="059C0F75"/>
    <w:rsid w:val="07E2411D"/>
    <w:rsid w:val="0FA12A1D"/>
    <w:rsid w:val="10070893"/>
    <w:rsid w:val="138C1EC2"/>
    <w:rsid w:val="13D32467"/>
    <w:rsid w:val="14D5151C"/>
    <w:rsid w:val="183C554F"/>
    <w:rsid w:val="1C9B1F2F"/>
    <w:rsid w:val="1F2F70B9"/>
    <w:rsid w:val="20FA61BB"/>
    <w:rsid w:val="224927CC"/>
    <w:rsid w:val="2B4314E5"/>
    <w:rsid w:val="2CB93CD9"/>
    <w:rsid w:val="2CD30A89"/>
    <w:rsid w:val="2F4247E3"/>
    <w:rsid w:val="389D12CD"/>
    <w:rsid w:val="38F52E00"/>
    <w:rsid w:val="392D45D1"/>
    <w:rsid w:val="3BDD4755"/>
    <w:rsid w:val="3EAE8C4B"/>
    <w:rsid w:val="3F062A53"/>
    <w:rsid w:val="3F75A90D"/>
    <w:rsid w:val="431F01E3"/>
    <w:rsid w:val="437767BA"/>
    <w:rsid w:val="44E67D16"/>
    <w:rsid w:val="4BDFD143"/>
    <w:rsid w:val="4FA43F0F"/>
    <w:rsid w:val="501D2FAD"/>
    <w:rsid w:val="54260581"/>
    <w:rsid w:val="54560AEA"/>
    <w:rsid w:val="56983E3A"/>
    <w:rsid w:val="5757A2A6"/>
    <w:rsid w:val="57BCE915"/>
    <w:rsid w:val="57FF5C0C"/>
    <w:rsid w:val="59FDFE53"/>
    <w:rsid w:val="5ACF1317"/>
    <w:rsid w:val="5B971339"/>
    <w:rsid w:val="5BFDACA3"/>
    <w:rsid w:val="5C307355"/>
    <w:rsid w:val="5F494D5F"/>
    <w:rsid w:val="5F5E5F7C"/>
    <w:rsid w:val="5F770438"/>
    <w:rsid w:val="5F799EC8"/>
    <w:rsid w:val="608A7C71"/>
    <w:rsid w:val="64FF25DD"/>
    <w:rsid w:val="65112350"/>
    <w:rsid w:val="6A973620"/>
    <w:rsid w:val="6B596BBE"/>
    <w:rsid w:val="6B6F9FBC"/>
    <w:rsid w:val="6BF7EF27"/>
    <w:rsid w:val="6FDFE18A"/>
    <w:rsid w:val="704A1637"/>
    <w:rsid w:val="71E8266F"/>
    <w:rsid w:val="75EBEF54"/>
    <w:rsid w:val="77C581F4"/>
    <w:rsid w:val="77EFC1E0"/>
    <w:rsid w:val="78003975"/>
    <w:rsid w:val="7A527E3C"/>
    <w:rsid w:val="7B761440"/>
    <w:rsid w:val="7D412097"/>
    <w:rsid w:val="7D7FE975"/>
    <w:rsid w:val="7DB75C80"/>
    <w:rsid w:val="7DD94431"/>
    <w:rsid w:val="7F330B06"/>
    <w:rsid w:val="7F7FBE62"/>
    <w:rsid w:val="7FF62B00"/>
    <w:rsid w:val="7FFAD8E8"/>
    <w:rsid w:val="7FFB7F5E"/>
    <w:rsid w:val="7FFD82CC"/>
    <w:rsid w:val="9AF37BF2"/>
    <w:rsid w:val="9C7D0B98"/>
    <w:rsid w:val="BFC90224"/>
    <w:rsid w:val="C5EB2B79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4EBF948"/>
    <w:rsid w:val="F4F75779"/>
    <w:rsid w:val="F5FF3229"/>
    <w:rsid w:val="F7BF9087"/>
    <w:rsid w:val="F7ED3B8F"/>
    <w:rsid w:val="FC7F9B57"/>
    <w:rsid w:val="FC9B14F7"/>
    <w:rsid w:val="FD3D4141"/>
    <w:rsid w:val="FEAB0932"/>
    <w:rsid w:val="FEC753AD"/>
    <w:rsid w:val="FFCFF5C4"/>
    <w:rsid w:val="FFD7794F"/>
    <w:rsid w:val="FFDFE648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1"/>
    <w:qFormat/>
    <w:uiPriority w:val="99"/>
    <w:rPr>
      <w:sz w:val="32"/>
      <w:szCs w:val="32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  <w:lang w:val="en-US" w:bidi="ar-SA"/>
    </w:rPr>
  </w:style>
  <w:style w:type="paragraph" w:styleId="10">
    <w:name w:val="Body Text First Indent"/>
    <w:basedOn w:val="5"/>
    <w:unhideWhenUsed/>
    <w:qFormat/>
    <w:uiPriority w:val="99"/>
    <w:pPr>
      <w:ind w:firstLine="420" w:firstLineChars="100"/>
    </w:pPr>
  </w:style>
  <w:style w:type="character" w:styleId="13">
    <w:name w:val="page number"/>
    <w:basedOn w:val="12"/>
    <w:qFormat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  <w:style w:type="paragraph" w:customStyle="1" w:styleId="16">
    <w:name w:val="ＢＴ１"/>
    <w:basedOn w:val="3"/>
    <w:next w:val="1"/>
    <w:qFormat/>
    <w:uiPriority w:val="0"/>
    <w:pPr>
      <w:spacing w:line="440" w:lineRule="exact"/>
      <w:ind w:firstLine="420" w:firstLineChars="200"/>
    </w:pPr>
    <w:rPr>
      <w:rFonts w:ascii="宋体" w:hAnsi="宋体" w:eastAsia="宋体"/>
      <w:spacing w:val="6"/>
      <w:sz w:val="28"/>
      <w:szCs w:val="31"/>
      <w14:textOutline w14:w="5791" w14:cap="flat" w14:cmpd="sng" w14:algn="ctr">
        <w14:solidFill>
          <w14:srgbClr w14:val="000000"/>
        </w14:solidFill>
        <w14:prstDash w14:val="solid"/>
        <w14:miter w14:val="0"/>
      </w14:textOutline>
    </w:rPr>
  </w:style>
  <w:style w:type="paragraph" w:customStyle="1" w:styleId="17">
    <w:name w:val="Table Text"/>
    <w:basedOn w:val="1"/>
    <w:semiHidden/>
    <w:qFormat/>
    <w:uiPriority w:val="0"/>
    <w:rPr>
      <w:sz w:val="21"/>
      <w:szCs w:val="21"/>
      <w:lang w:eastAsia="en-US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2592</Words>
  <Characters>2745</Characters>
  <Lines>0</Lines>
  <Paragraphs>0</Paragraphs>
  <TotalTime>98</TotalTime>
  <ScaleCrop>false</ScaleCrop>
  <LinksUpToDate>false</LinksUpToDate>
  <CharactersWithSpaces>2809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2023-04-12T23:50:00Z</dcterms:created>
  <dc:creator>噗</dc:creator>
  <cp:lastModifiedBy>user</cp:lastModifiedBy>
  <cp:lastPrinted>2024-07-06T03:18:00Z</cp:lastPrinted>
  <dcterms:modified xsi:type="dcterms:W3CDTF">2024-07-08T14:29:55Z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EF73339498E1503C1ACB3D66A1BE176D</vt:lpwstr>
  </property>
</Properties>
</file>