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06EC0">
      <w:pPr>
        <w:spacing w:line="560" w:lineRule="exact"/>
        <w:jc w:val="left"/>
        <w:rPr>
          <w:rFonts w:hint="eastAsia" w:ascii="黑体" w:hAnsi="黑体" w:eastAsia="黑体" w:cs="仿宋_GB2312"/>
          <w:szCs w:val="32"/>
        </w:rPr>
      </w:pPr>
      <w:r>
        <w:rPr>
          <w:rFonts w:hint="eastAsia" w:ascii="黑体" w:hAnsi="黑体" w:eastAsia="黑体" w:cs="仿宋_GB2312"/>
          <w:szCs w:val="32"/>
        </w:rPr>
        <w:t>附件2</w:t>
      </w:r>
    </w:p>
    <w:p w14:paraId="43C22F29">
      <w:pPr>
        <w:spacing w:line="560" w:lineRule="exact"/>
        <w:jc w:val="center"/>
        <w:rPr>
          <w:rFonts w:hint="eastAsia" w:ascii="方正小标宋_GBK" w:hAnsi="方正小标宋_GBK" w:eastAsia="方正小标宋_GBK" w:cs="方正小标宋_GBK"/>
          <w:sz w:val="44"/>
          <w:szCs w:val="44"/>
        </w:rPr>
      </w:pPr>
    </w:p>
    <w:p w14:paraId="0DCE77A2">
      <w:pPr>
        <w:spacing w:line="600" w:lineRule="exact"/>
        <w:jc w:val="center"/>
        <w:rPr>
          <w:rFonts w:hint="eastAsia" w:ascii="小标宋" w:hAnsi="方正小标宋_GBK" w:eastAsia="小标宋" w:cs="方正小标宋_GBK"/>
          <w:sz w:val="44"/>
          <w:szCs w:val="44"/>
        </w:rPr>
      </w:pPr>
      <w:r>
        <w:rPr>
          <w:rFonts w:hint="eastAsia" w:ascii="小标宋" w:hAnsi="方正小标宋_GBK" w:eastAsia="小标宋" w:cs="方正小标宋_GBK"/>
          <w:sz w:val="44"/>
          <w:szCs w:val="44"/>
        </w:rPr>
        <w:t>推进劳务品牌职业技能培训工作指引</w:t>
      </w:r>
    </w:p>
    <w:p w14:paraId="57705902">
      <w:pPr>
        <w:ind w:firstLine="640" w:firstLineChars="200"/>
        <w:contextualSpacing/>
        <w:rPr>
          <w:rFonts w:hint="eastAsia" w:ascii="仿宋_GB2312" w:hAnsi="仿宋_GB2312" w:eastAsia="仿宋_GB2312" w:cs="仿宋_GB2312"/>
          <w:szCs w:val="32"/>
        </w:rPr>
      </w:pPr>
    </w:p>
    <w:p w14:paraId="332F2082">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为深入贯彻落实国家大规模职业技能提升培训行动部署要求，立足我省劳务产业发展和劳务品牌培育建设实际，持续做大做强劳务品牌技能培训供给，以高质量技能培训赋能劳务品牌提质扩容、带动重点群体稳岗增收，全面提升我省劳务产业核心竞争力，现明确如下推进劳务品牌职业技能培训工作指引。</w:t>
      </w:r>
    </w:p>
    <w:p w14:paraId="52B0C97C">
      <w:pPr>
        <w:ind w:firstLine="640" w:firstLineChars="200"/>
        <w:contextualSpacing/>
        <w:rPr>
          <w:rFonts w:hint="eastAsia" w:ascii="黑体" w:hAnsi="黑体" w:eastAsia="黑体" w:cs="黑体"/>
          <w:szCs w:val="32"/>
        </w:rPr>
      </w:pPr>
      <w:r>
        <w:rPr>
          <w:rFonts w:hint="eastAsia" w:ascii="黑体" w:hAnsi="黑体" w:eastAsia="黑体" w:cs="黑体"/>
          <w:szCs w:val="32"/>
        </w:rPr>
        <w:t>一、拓宽培训实施路径，灵活组织品牌培训</w:t>
      </w:r>
    </w:p>
    <w:p w14:paraId="2FC84FA1">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支持劳务品牌建设单位自主、委托或联合职业技能培训机构开展劳务品牌相关定向或定制化职业技能培训。自身具备培训资质的劳务品牌建设单位，可结合品牌工种用工、劳务输出实际需求，自主组织劳务品牌相关职业技能培训。自身不具备培训资质的，可联合或委托职业院校、技工院校、民办职业技能培训学校等开展劳务品牌相关职业技能培训。符合条件的参训人员可按规定享受职业培训补贴。</w:t>
      </w:r>
    </w:p>
    <w:p w14:paraId="6FEE3E99">
      <w:pPr>
        <w:ind w:firstLine="640" w:firstLineChars="200"/>
        <w:contextualSpacing/>
        <w:jc w:val="left"/>
        <w:rPr>
          <w:rFonts w:hint="eastAsia" w:ascii="黑体" w:hAnsi="黑体" w:eastAsia="黑体" w:cs="黑体"/>
          <w:szCs w:val="32"/>
        </w:rPr>
      </w:pPr>
      <w:r>
        <w:rPr>
          <w:rFonts w:hint="eastAsia" w:ascii="黑体" w:hAnsi="黑体" w:eastAsia="黑体" w:cs="黑体"/>
          <w:szCs w:val="32"/>
        </w:rPr>
        <w:t>二、</w:t>
      </w:r>
      <w:r>
        <w:rPr>
          <w:rFonts w:hint="eastAsia" w:ascii="黑体" w:hAnsi="黑体" w:eastAsia="黑体" w:cs="黑体"/>
          <w:szCs w:val="32"/>
          <w:lang w:bidi="ar"/>
        </w:rPr>
        <w:t>扩容培训工种目录，拓宽品牌培训范围</w:t>
      </w:r>
    </w:p>
    <w:p w14:paraId="683759D1">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支持各地依托重点职业（工种），积极培育具有地方特色和市场影响力的新职业、新工种。针对劳务品牌培育过程中产生的新职业、新工种，符合条件的按规定纳入补贴性职业技能培训范围，不断拓宽劳务品牌技能培训覆盖面。劳务品牌相关职业技能培训，可根据《国家职业分类大典》对应或相近职业组织实施，也可以根据《专项职业能力培训需求指导目录》相关项目开展专项职业能力培训。</w:t>
      </w:r>
    </w:p>
    <w:p w14:paraId="6A9803A9">
      <w:pPr>
        <w:ind w:firstLine="640" w:firstLineChars="200"/>
        <w:contextualSpacing/>
        <w:jc w:val="left"/>
        <w:rPr>
          <w:rFonts w:hint="eastAsia" w:ascii="黑体" w:hAnsi="黑体" w:eastAsia="黑体" w:cs="黑体"/>
          <w:szCs w:val="32"/>
          <w:lang w:bidi="ar"/>
        </w:rPr>
      </w:pPr>
      <w:r>
        <w:rPr>
          <w:rFonts w:hint="eastAsia" w:ascii="黑体" w:hAnsi="黑体" w:eastAsia="黑体" w:cs="黑体"/>
          <w:szCs w:val="32"/>
          <w:lang w:bidi="ar"/>
        </w:rPr>
        <w:t>三、完善培训标准体系，提升品牌培训质效</w:t>
      </w:r>
    </w:p>
    <w:p w14:paraId="62B3A939">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劳务品牌建设单位或其委托开展培训的职业院校、技工院校、民办职业技能培训学校，要充分发挥劳务品牌资源优势，不断优化培训内容，提高劳务质量，丰富品牌内涵，形成特色职业技能培训标准。要以服务品牌发展和促进技能就业为导向，抓好师资建设、课程开发、教学管理等工作，针对特色劳务从业人员开展多渠道、多层次、多形式的职业技能培训、职业道德教育和法律法规培训，其中实操课时占比不低于70%，以确保学员掌握核心操作技能。</w:t>
      </w:r>
    </w:p>
    <w:p w14:paraId="13867325">
      <w:pPr>
        <w:ind w:firstLine="640" w:firstLineChars="200"/>
        <w:contextualSpacing/>
        <w:rPr>
          <w:rFonts w:hint="eastAsia" w:ascii="仿宋_GB2312" w:hAnsi="仿宋_GB2312" w:eastAsia="仿宋_GB2312" w:cs="仿宋_GB2312"/>
          <w:szCs w:val="32"/>
        </w:rPr>
      </w:pPr>
      <w:r>
        <w:rPr>
          <w:rFonts w:hint="eastAsia" w:ascii="黑体" w:hAnsi="黑体" w:eastAsia="黑体" w:cs="黑体"/>
          <w:szCs w:val="32"/>
        </w:rPr>
        <w:t>四、健全技能考评体系，推进训考评一体化建设</w:t>
      </w:r>
    </w:p>
    <w:p w14:paraId="5CF06FBA">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统筹推进劳务品牌技能培训与职业技能评价有机衔接，支持劳务品牌建设单位，自主或联合院校、行业协会开发贴合地方劳务用工实际的专项职业能力考核项目。对于培训体量充足、实训场地完备、师资队伍稳定、内部管理制度健全的劳务品牌经营主体，支持其设立专项职业能力考核考点，实现培训、考核、发证本地化一站式办理，形成训评同步、学考一体的长效机制。</w:t>
      </w:r>
    </w:p>
    <w:p w14:paraId="55FA67E8">
      <w:pPr>
        <w:ind w:firstLine="640" w:firstLineChars="200"/>
        <w:contextualSpacing/>
        <w:rPr>
          <w:rFonts w:hint="eastAsia" w:ascii="黑体" w:hAnsi="黑体" w:eastAsia="黑体" w:cs="黑体"/>
          <w:szCs w:val="32"/>
        </w:rPr>
      </w:pPr>
      <w:r>
        <w:rPr>
          <w:rFonts w:hint="eastAsia" w:ascii="黑体" w:hAnsi="黑体" w:eastAsia="黑体" w:cs="黑体"/>
          <w:szCs w:val="32"/>
        </w:rPr>
        <w:t>五、加强资金统筹监管，规范补助资金使用管理</w:t>
      </w:r>
    </w:p>
    <w:p w14:paraId="65EE8499">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统筹规范“赣字号”劳务品牌专项补助资金使用管理，对劳务品牌相关培训给予适当倾斜。健全资金管理制度，规范资金使用方向，强化全过程监管与绩效评价，确保补助资金专款专用、精准高效，充分发挥资金对劳务品牌建设的支撑保障作用。</w:t>
      </w:r>
    </w:p>
    <w:p w14:paraId="27347652">
      <w:pPr>
        <w:ind w:firstLine="640" w:firstLineChars="200"/>
        <w:contextualSpacing/>
        <w:rPr>
          <w:rFonts w:hint="eastAsia" w:ascii="黑体" w:hAnsi="黑体" w:eastAsia="黑体" w:cs="黑体"/>
          <w:szCs w:val="32"/>
        </w:rPr>
      </w:pPr>
      <w:r>
        <w:rPr>
          <w:rFonts w:hint="eastAsia" w:ascii="黑体" w:hAnsi="黑体" w:eastAsia="黑体" w:cs="黑体"/>
          <w:szCs w:val="32"/>
        </w:rPr>
        <w:t>六、强化统筹组织推进，常态抓好品牌培训实施</w:t>
      </w:r>
    </w:p>
    <w:p w14:paraId="5404AAC5">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各地要常态化摸排劳务品牌培训需求，搭建校企对接服务平台，畅通优质培训资源共享渠道，因地制宜推行订单定向培训、送教下乡、车间实训、线上线下融合培训等灵活模式，持续推动劳务品牌技能培训长效化、常态化落地。</w:t>
      </w:r>
    </w:p>
    <w:p w14:paraId="19D0F6C0">
      <w:pPr>
        <w:ind w:firstLine="640" w:firstLineChars="200"/>
        <w:contextualSpacing/>
        <w:rPr>
          <w:rFonts w:hint="eastAsia" w:ascii="仿宋_GB2312" w:hAnsi="仿宋_GB2312" w:eastAsia="仿宋_GB2312" w:cs="仿宋_GB2312"/>
          <w:szCs w:val="32"/>
        </w:rPr>
      </w:pPr>
      <w:r>
        <w:rPr>
          <w:rFonts w:hint="eastAsia" w:ascii="仿宋_GB2312" w:hAnsi="仿宋_GB2312" w:eastAsia="仿宋_GB2312" w:cs="仿宋_GB2312"/>
          <w:szCs w:val="32"/>
        </w:rPr>
        <w:t>本通知自印发之日起施行。今后相关政策如有新规定，从其规定。</w:t>
      </w:r>
    </w:p>
    <w:p w14:paraId="44F92AA1">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356" wne:mask="1"/>
    <wne:keymap wne:kcmPrimary="065A">
      <wne:fci wne:fciName="PasteFormat" wne:swArg="0000"/>
    </wne:keymap>
    <wne:keymap wne:kcmPrimary="0343" wne:mask="1"/>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小标宋">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876A6"/>
    <w:rsid w:val="3AC8077D"/>
    <w:rsid w:val="456D6663"/>
    <w:rsid w:val="49BC3EA7"/>
    <w:rsid w:val="4A3C1978"/>
    <w:rsid w:val="4DDF703D"/>
    <w:rsid w:val="682656FE"/>
    <w:rsid w:val="79485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3">
    <w:name w:val="heading 1"/>
    <w:basedOn w:val="1"/>
    <w:next w:val="1"/>
    <w:qFormat/>
    <w:uiPriority w:val="0"/>
    <w:pPr>
      <w:keepNext/>
      <w:keepLines/>
      <w:wordWrap w:val="0"/>
      <w:spacing w:beforeLines="0" w:beforeAutospacing="0" w:afterLines="0" w:afterAutospacing="0" w:line="240" w:lineRule="auto"/>
      <w:jc w:val="center"/>
      <w:outlineLvl w:val="0"/>
    </w:pPr>
    <w:rPr>
      <w:rFonts w:eastAsia="小标宋" w:asciiTheme="minorAscii" w:hAnsiTheme="minorAscii"/>
      <w:b/>
      <w:kern w:val="44"/>
      <w:sz w:val="44"/>
    </w:rPr>
  </w:style>
  <w:style w:type="paragraph" w:styleId="4">
    <w:name w:val="heading 2"/>
    <w:basedOn w:val="1"/>
    <w:next w:val="1"/>
    <w:semiHidden/>
    <w:unhideWhenUsed/>
    <w:qFormat/>
    <w:uiPriority w:val="0"/>
    <w:pPr>
      <w:keepNext/>
      <w:keepLines/>
      <w:wordWrap w:val="0"/>
      <w:spacing w:beforeLines="0" w:beforeAutospacing="0" w:afterLines="0" w:afterAutospacing="0" w:line="560" w:lineRule="exact"/>
      <w:outlineLvl w:val="1"/>
    </w:pPr>
    <w:rPr>
      <w:rFonts w:ascii="Times New Roman" w:hAnsi="Times New Roman" w:eastAsia="黑体"/>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after="120" w:afterAutospacing="0" w:line="480" w:lineRule="auto"/>
      <w:ind w:left="420" w:leftChars="200"/>
    </w:pPr>
    <w:rPr>
      <w:rFonts w:ascii="Calibri" w:hAnsi="Calibri" w:eastAsia="仿宋" w:cs="Times New Roman"/>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microsoft.com/office/2006/relationships/keyMapCustomizations" Target="customizations.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2025-04-02T06:43:00Z</dcterms:created>
  <dc:creator>Administrator</dc:creator>
  <cp:lastModifiedBy>塵言 </cp:lastModifiedBy>
  <dcterms:modified xsi:type="dcterms:W3CDTF">2026-09-10T01:20:11Z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90D0B41DA9A1459299F7654FA5FE43A1_12</vt:lpwstr>
  </property>
  <property fmtid="{D5CDD505-2E9C-101B-9397-08002B2CF9AE}" pid="4" name="KSOTemplateDocerSaveRecord">
    <vt:lpwstr>eyJoZGlkIjoiMGFhNTAyYjcyMzMzN2NmYzgzYjFkMjI4NmNmMzRmOGIiLCJ1c2VySWQiOiIxMDI4MTE4NDQzIn0=</vt:lpwstr>
  </property>
</Properties>
</file>