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BD615">
      <w:pPr>
        <w:tabs>
          <w:tab w:val="left" w:pos="4320"/>
        </w:tabs>
        <w:spacing w:line="560" w:lineRule="exact"/>
        <w:jc w:val="left"/>
        <w:outlineLvl w:val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附件2</w:t>
      </w:r>
    </w:p>
    <w:p w14:paraId="5B2C94A8">
      <w:pPr>
        <w:tabs>
          <w:tab w:val="left" w:pos="4320"/>
        </w:tabs>
        <w:spacing w:line="560" w:lineRule="exact"/>
        <w:jc w:val="left"/>
        <w:outlineLvl w:val="0"/>
        <w:rPr>
          <w:rFonts w:ascii="宋体" w:hAnsi="宋体" w:eastAsia="宋体"/>
        </w:rPr>
      </w:pPr>
    </w:p>
    <w:p w14:paraId="6DC26987">
      <w:pPr>
        <w:spacing w:line="640" w:lineRule="exact"/>
        <w:contextualSpacing/>
        <w:jc w:val="center"/>
        <w:rPr>
          <w:rFonts w:ascii="小标宋" w:hAnsi="仿宋" w:eastAsia="小标宋" w:cs="仿宋_GB2312"/>
          <w:bCs/>
          <w:sz w:val="44"/>
          <w:szCs w:val="44"/>
        </w:rPr>
      </w:pPr>
      <w:r>
        <w:rPr>
          <w:rFonts w:hint="eastAsia" w:ascii="小标宋" w:hAnsi="仿宋" w:eastAsia="小标宋" w:cs="仿宋_GB2312"/>
          <w:bCs/>
          <w:sz w:val="44"/>
          <w:szCs w:val="44"/>
        </w:rPr>
        <w:t>南昌市区交通和南昌大学位置图</w:t>
      </w:r>
    </w:p>
    <w:p w14:paraId="56920697">
      <w:pPr>
        <w:contextualSpacing/>
        <w:jc w:val="center"/>
        <w:rPr>
          <w:rFonts w:ascii="仿宋" w:hAnsi="仿宋" w:eastAsia="仿宋" w:cs="仿宋_GB2312"/>
          <w:b/>
          <w:bCs/>
          <w:szCs w:val="32"/>
        </w:rPr>
      </w:pPr>
      <w:r>
        <w:rPr>
          <w:rFonts w:hint="eastAsia" w:ascii="仿宋" w:hAnsi="仿宋" w:eastAsia="仿宋" w:cs="仿宋_GB2312"/>
          <w:b/>
          <w:bCs/>
          <w:szCs w:val="32"/>
        </w:rPr>
        <w:drawing>
          <wp:inline distT="0" distB="0" distL="0" distR="0">
            <wp:extent cx="2429510" cy="3095625"/>
            <wp:effectExtent l="0" t="0" r="8890" b="9525"/>
            <wp:docPr id="11394939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93915" name="图片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_GB2312"/>
          <w:b/>
          <w:bCs/>
          <w:szCs w:val="32"/>
        </w:rPr>
        <w:t xml:space="preserve"> </w:t>
      </w:r>
      <w:r>
        <w:rPr>
          <w:rFonts w:hint="eastAsia" w:ascii="仿宋" w:hAnsi="仿宋" w:eastAsia="仿宋" w:cs="仿宋_GB2312"/>
          <w:b/>
          <w:bCs/>
          <w:szCs w:val="32"/>
        </w:rPr>
        <w:drawing>
          <wp:inline distT="0" distB="0" distL="0" distR="0">
            <wp:extent cx="2472690" cy="3095625"/>
            <wp:effectExtent l="0" t="0" r="3810" b="9525"/>
            <wp:docPr id="18040667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06672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200" cy="3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51F95">
      <w:pPr>
        <w:ind w:firstLine="640" w:firstLineChars="200"/>
        <w:contextualSpacing/>
        <w:jc w:val="center"/>
        <w:rPr>
          <w:rFonts w:ascii="黑体" w:hAnsi="黑体" w:eastAsia="黑体"/>
        </w:rPr>
      </w:pPr>
    </w:p>
    <w:p w14:paraId="2740358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44927"/>
    <w:rsid w:val="456D6663"/>
    <w:rsid w:val="49BC3EA7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2026-08-27T08:51:37Z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