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广州市</w:t>
      </w:r>
      <w:r>
        <w:rPr>
          <w:rFonts w:hint="eastAsia" w:ascii="Times New Roman" w:hAnsi="Times New Roman" w:eastAsia="方正小标宋简体" w:cs="Times New Roman"/>
          <w:color w:val="auto"/>
          <w:sz w:val="44"/>
          <w:szCs w:val="44"/>
          <w:lang w:eastAsia="zh-CN"/>
        </w:rPr>
        <w:t>对境外人员开放</w:t>
      </w:r>
      <w:r>
        <w:rPr>
          <w:rFonts w:hint="default" w:ascii="Times New Roman" w:hAnsi="Times New Roman" w:eastAsia="方正小标宋简体" w:cs="Times New Roman"/>
          <w:color w:val="auto"/>
          <w:sz w:val="44"/>
          <w:szCs w:val="44"/>
        </w:rPr>
        <w:t>专业技术</w:t>
      </w:r>
      <w:r>
        <w:rPr>
          <w:rFonts w:hint="eastAsia" w:ascii="Times New Roman" w:hAnsi="Times New Roman" w:eastAsia="方正小标宋简体" w:cs="Times New Roman"/>
          <w:color w:val="auto"/>
          <w:sz w:val="44"/>
          <w:szCs w:val="44"/>
          <w:lang w:eastAsia="zh-CN"/>
        </w:rPr>
        <w:t>人员</w:t>
      </w:r>
      <w:r>
        <w:rPr>
          <w:rFonts w:hint="default" w:ascii="Times New Roman" w:hAnsi="Times New Roman" w:eastAsia="方正小标宋简体" w:cs="Times New Roman"/>
          <w:color w:val="auto"/>
          <w:sz w:val="44"/>
          <w:szCs w:val="44"/>
        </w:rPr>
        <w:t>职业资格</w:t>
      </w:r>
    </w:p>
    <w:p>
      <w:pPr>
        <w:keepNext w:val="0"/>
        <w:keepLines w:val="0"/>
        <w:pageBreakBefore w:val="0"/>
        <w:widowControl w:val="0"/>
        <w:kinsoku/>
        <w:wordWrap/>
        <w:overflowPunct/>
        <w:topLinePunct w:val="0"/>
        <w:autoSpaceDE/>
        <w:autoSpaceDN/>
        <w:bidi w:val="0"/>
        <w:adjustRightInd w:val="0"/>
        <w:snapToGrid w:val="0"/>
        <w:spacing w:after="159" w:afterLines="50" w:line="560" w:lineRule="exact"/>
        <w:jc w:val="center"/>
        <w:textAlignment w:val="auto"/>
        <w:rPr>
          <w:rFonts w:hint="eastAsia"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rPr>
        <w:t>考试</w:t>
      </w:r>
      <w:r>
        <w:rPr>
          <w:rFonts w:hint="default" w:ascii="Times New Roman" w:hAnsi="Times New Roman" w:eastAsia="方正小标宋简体" w:cs="Times New Roman"/>
          <w:color w:val="auto"/>
          <w:sz w:val="44"/>
          <w:szCs w:val="44"/>
          <w:lang w:eastAsia="zh-CN"/>
        </w:rPr>
        <w:t>目录</w:t>
      </w:r>
      <w:r>
        <w:rPr>
          <w:rFonts w:hint="eastAsia" w:eastAsia="方正小标宋简体" w:cs="Times New Roman"/>
          <w:color w:val="auto"/>
          <w:sz w:val="44"/>
          <w:szCs w:val="44"/>
          <w:lang w:eastAsia="zh-CN"/>
        </w:rPr>
        <w:t>（</w:t>
      </w:r>
      <w:r>
        <w:rPr>
          <w:rFonts w:hint="default" w:eastAsia="方正小标宋简体" w:cs="Times New Roman"/>
          <w:color w:val="auto"/>
          <w:sz w:val="44"/>
          <w:szCs w:val="44"/>
          <w:lang w:val="en-US" w:eastAsia="zh-CN"/>
        </w:rPr>
        <w:t>2</w:t>
      </w:r>
      <w:r>
        <w:rPr>
          <w:rFonts w:hint="eastAsia" w:eastAsia="方正小标宋简体" w:cs="Times New Roman"/>
          <w:color w:val="auto"/>
          <w:sz w:val="44"/>
          <w:szCs w:val="44"/>
          <w:lang w:val="en-US" w:eastAsia="zh-CN"/>
        </w:rPr>
        <w:t>.</w:t>
      </w:r>
      <w:r>
        <w:rPr>
          <w:rFonts w:hint="default" w:eastAsia="方正小标宋简体" w:cs="Times New Roman"/>
          <w:color w:val="auto"/>
          <w:sz w:val="44"/>
          <w:szCs w:val="44"/>
          <w:lang w:val="en-US" w:eastAsia="zh-CN"/>
        </w:rPr>
        <w:t>0</w:t>
      </w:r>
      <w:r>
        <w:rPr>
          <w:rFonts w:hint="eastAsia" w:eastAsia="方正小标宋简体" w:cs="Times New Roman"/>
          <w:color w:val="auto"/>
          <w:sz w:val="44"/>
          <w:szCs w:val="44"/>
          <w:lang w:eastAsia="zh-CN"/>
        </w:rPr>
        <w:t>版）</w:t>
      </w:r>
    </w:p>
    <w:p>
      <w:pPr>
        <w:pStyle w:val="2"/>
        <w:keepNext w:val="0"/>
        <w:keepLines w:val="0"/>
        <w:pageBreakBefore w:val="0"/>
        <w:widowControl w:val="0"/>
        <w:kinsoku/>
        <w:wordWrap/>
        <w:overflowPunct/>
        <w:topLinePunct w:val="0"/>
        <w:autoSpaceDE/>
        <w:autoSpaceDN/>
        <w:bidi w:val="0"/>
        <w:spacing w:line="560" w:lineRule="exact"/>
        <w:ind w:firstLine="0" w:firstLineChars="0"/>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（共计</w:t>
      </w:r>
      <w:r>
        <w:rPr>
          <w:rFonts w:hint="default" w:ascii="Times New Roman" w:hAnsi="Times New Roman" w:eastAsia="黑体" w:cs="Times New Roman"/>
          <w:color w:val="auto"/>
          <w:sz w:val="32"/>
          <w:szCs w:val="32"/>
        </w:rPr>
        <w:t>41</w:t>
      </w:r>
      <w:r>
        <w:rPr>
          <w:rFonts w:hint="eastAsia" w:ascii="黑体" w:hAnsi="黑体" w:eastAsia="黑体" w:cs="黑体"/>
          <w:color w:val="auto"/>
          <w:sz w:val="32"/>
          <w:szCs w:val="32"/>
        </w:rPr>
        <w:t>项）</w:t>
      </w:r>
    </w:p>
    <w:p>
      <w:pPr>
        <w:keepNext w:val="0"/>
        <w:keepLines w:val="0"/>
        <w:pageBreakBefore w:val="0"/>
        <w:widowControl w:val="0"/>
        <w:numPr>
          <w:ilvl w:val="0"/>
          <w:numId w:val="1"/>
        </w:numPr>
        <w:kinsoku/>
        <w:wordWrap/>
        <w:overflowPunct/>
        <w:topLinePunct w:val="0"/>
        <w:autoSpaceDE/>
        <w:autoSpaceDN/>
        <w:bidi w:val="0"/>
        <w:adjustRightInd/>
        <w:snapToGrid/>
        <w:spacing w:after="157" w:afterLines="50" w:line="560" w:lineRule="exact"/>
        <w:ind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市人力资源社会保障局负责考务组织实施（</w:t>
      </w:r>
      <w:r>
        <w:rPr>
          <w:rFonts w:hint="default" w:ascii="Times New Roman" w:hAnsi="Times New Roman" w:eastAsia="黑体" w:cs="Times New Roman"/>
          <w:b w:val="0"/>
          <w:bCs w:val="0"/>
          <w:color w:val="auto"/>
          <w:sz w:val="32"/>
          <w:szCs w:val="32"/>
          <w:lang w:val="en-US" w:eastAsia="zh-CN"/>
        </w:rPr>
        <w:t>29</w:t>
      </w:r>
      <w:r>
        <w:rPr>
          <w:rFonts w:hint="eastAsia" w:ascii="黑体" w:hAnsi="黑体" w:eastAsia="黑体" w:cs="黑体"/>
          <w:b w:val="0"/>
          <w:bCs w:val="0"/>
          <w:color w:val="auto"/>
          <w:sz w:val="32"/>
          <w:szCs w:val="32"/>
          <w:lang w:val="en-US" w:eastAsia="zh-CN"/>
        </w:rPr>
        <w:t>项）</w:t>
      </w:r>
      <w:bookmarkStart w:id="3" w:name="_GoBack"/>
      <w:bookmarkEnd w:id="3"/>
    </w:p>
    <w:tbl>
      <w:tblPr>
        <w:tblStyle w:val="10"/>
        <w:tblW w:w="14859" w:type="dxa"/>
        <w:jc w:val="center"/>
        <w:shd w:val="clear" w:color="auto" w:fill="auto"/>
        <w:tblLayout w:type="fixed"/>
        <w:tblCellMar>
          <w:top w:w="0" w:type="dxa"/>
          <w:left w:w="0" w:type="dxa"/>
          <w:bottom w:w="0" w:type="dxa"/>
          <w:right w:w="0" w:type="dxa"/>
        </w:tblCellMar>
      </w:tblPr>
      <w:tblGrid>
        <w:gridCol w:w="630"/>
        <w:gridCol w:w="780"/>
        <w:gridCol w:w="732"/>
        <w:gridCol w:w="1795"/>
        <w:gridCol w:w="1030"/>
        <w:gridCol w:w="1091"/>
        <w:gridCol w:w="1193"/>
        <w:gridCol w:w="1103"/>
        <w:gridCol w:w="2548"/>
        <w:gridCol w:w="2265"/>
        <w:gridCol w:w="1692"/>
      </w:tblGrid>
      <w:tr>
        <w:tblPrEx>
          <w:tblCellMar>
            <w:top w:w="0" w:type="dxa"/>
            <w:left w:w="0" w:type="dxa"/>
            <w:bottom w:w="0" w:type="dxa"/>
            <w:right w:w="0" w:type="dxa"/>
          </w:tblCellMar>
        </w:tblPrEx>
        <w:trPr>
          <w:trHeight w:val="81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序号</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职业资格名称</w:t>
            </w: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25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color w:val="auto"/>
                <w:kern w:val="0"/>
                <w:sz w:val="24"/>
                <w:szCs w:val="24"/>
                <w:u w:val="none"/>
                <w:vertAlign w:val="baseline"/>
                <w:lang w:val="en-US" w:eastAsia="zh-CN" w:bidi="ar"/>
              </w:rPr>
            </w:pPr>
            <w:r>
              <w:rPr>
                <w:rFonts w:hint="eastAsia" w:ascii="黑体" w:hAnsi="黑体" w:eastAsia="黑体" w:cs="黑体"/>
                <w:b w:val="0"/>
                <w:bCs/>
                <w:color w:val="auto"/>
                <w:kern w:val="0"/>
                <w:sz w:val="24"/>
                <w:szCs w:val="24"/>
                <w:u w:val="none"/>
                <w:vertAlign w:val="baseline"/>
                <w:lang w:val="en-US" w:eastAsia="zh-CN" w:bidi="ar"/>
              </w:rPr>
              <w:t>实施部门</w:t>
            </w:r>
          </w:p>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color w:val="auto"/>
                <w:lang w:val="en-US" w:eastAsia="zh-CN"/>
              </w:rPr>
            </w:pPr>
            <w:r>
              <w:rPr>
                <w:rFonts w:hint="eastAsia" w:ascii="黑体" w:hAnsi="黑体" w:eastAsia="黑体" w:cs="黑体"/>
                <w:b w:val="0"/>
                <w:bCs/>
                <w:color w:val="auto"/>
                <w:kern w:val="0"/>
                <w:sz w:val="24"/>
                <w:szCs w:val="24"/>
                <w:u w:val="none"/>
                <w:vertAlign w:val="baseline"/>
                <w:lang w:val="en-US" w:eastAsia="zh-CN" w:bidi="ar"/>
              </w:rPr>
              <w:t>（单位）</w:t>
            </w:r>
          </w:p>
        </w:tc>
        <w:tc>
          <w:tcPr>
            <w:tcW w:w="2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color w:val="auto"/>
                <w:kern w:val="0"/>
                <w:sz w:val="24"/>
                <w:szCs w:val="24"/>
                <w:u w:val="none"/>
                <w:vertAlign w:val="baseline"/>
                <w:lang w:val="en-US" w:eastAsia="zh-CN" w:bidi="ar"/>
              </w:rPr>
            </w:pPr>
            <w:r>
              <w:rPr>
                <w:rFonts w:hint="eastAsia" w:ascii="黑体" w:hAnsi="黑体" w:eastAsia="黑体" w:cs="黑体"/>
                <w:b w:val="0"/>
                <w:bCs/>
                <w:color w:val="auto"/>
                <w:kern w:val="0"/>
                <w:sz w:val="24"/>
                <w:szCs w:val="24"/>
                <w:u w:val="none"/>
                <w:vertAlign w:val="baseline"/>
                <w:lang w:val="en-US" w:eastAsia="zh-CN" w:bidi="ar"/>
              </w:rPr>
              <w:t>具体考务组织部门</w:t>
            </w:r>
          </w:p>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color w:val="auto"/>
                <w:kern w:val="0"/>
                <w:sz w:val="24"/>
                <w:szCs w:val="24"/>
                <w:u w:val="none"/>
                <w:vertAlign w:val="baseline"/>
                <w:lang w:val="en-US" w:eastAsia="zh-CN" w:bidi="ar"/>
              </w:rPr>
              <w:t>（单位）</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aps w:val="0"/>
                <w:color w:val="auto"/>
                <w:spacing w:val="0"/>
                <w:kern w:val="0"/>
                <w:sz w:val="24"/>
                <w:szCs w:val="24"/>
                <w:u w:val="none"/>
                <w:shd w:val="clear"/>
                <w:lang w:eastAsia="zh-CN" w:bidi="ar"/>
              </w:rPr>
            </w:pPr>
            <w:r>
              <w:rPr>
                <w:rFonts w:hint="eastAsia" w:ascii="黑体" w:hAnsi="黑体" w:eastAsia="黑体" w:cs="黑体"/>
                <w:b w:val="0"/>
                <w:bCs/>
                <w:i w:val="0"/>
                <w:caps w:val="0"/>
                <w:color w:val="auto"/>
                <w:spacing w:val="0"/>
                <w:kern w:val="0"/>
                <w:sz w:val="24"/>
                <w:szCs w:val="24"/>
                <w:u w:val="none"/>
                <w:shd w:val="clear"/>
                <w:lang w:bidi="ar"/>
              </w:rPr>
              <w:t>报</w:t>
            </w:r>
            <w:r>
              <w:rPr>
                <w:rFonts w:hint="eastAsia" w:ascii="黑体" w:hAnsi="黑体" w:eastAsia="黑体" w:cs="黑体"/>
                <w:b w:val="0"/>
                <w:bCs/>
                <w:i w:val="0"/>
                <w:caps w:val="0"/>
                <w:color w:val="auto"/>
                <w:spacing w:val="0"/>
                <w:kern w:val="0"/>
                <w:sz w:val="24"/>
                <w:szCs w:val="24"/>
                <w:u w:val="none"/>
                <w:shd w:val="clear"/>
                <w:lang w:eastAsia="zh-CN" w:bidi="ar"/>
              </w:rPr>
              <w:t>名</w:t>
            </w:r>
            <w:r>
              <w:rPr>
                <w:rFonts w:hint="eastAsia" w:ascii="黑体" w:hAnsi="黑体" w:eastAsia="黑体" w:cs="黑体"/>
                <w:b w:val="0"/>
                <w:bCs/>
                <w:i w:val="0"/>
                <w:caps w:val="0"/>
                <w:color w:val="auto"/>
                <w:spacing w:val="0"/>
                <w:kern w:val="0"/>
                <w:sz w:val="24"/>
                <w:szCs w:val="24"/>
                <w:u w:val="none"/>
                <w:shd w:val="clear"/>
                <w:lang w:bidi="ar"/>
              </w:rPr>
              <w:t>指引</w:t>
            </w:r>
            <w:r>
              <w:rPr>
                <w:rFonts w:hint="eastAsia" w:ascii="黑体" w:hAnsi="黑体" w:eastAsia="黑体" w:cs="黑体"/>
                <w:b w:val="0"/>
                <w:bCs/>
                <w:i w:val="0"/>
                <w:caps w:val="0"/>
                <w:color w:val="auto"/>
                <w:spacing w:val="0"/>
                <w:kern w:val="0"/>
                <w:sz w:val="24"/>
                <w:szCs w:val="24"/>
                <w:u w:val="none"/>
                <w:shd w:val="clear"/>
                <w:lang w:eastAsia="zh-CN" w:bidi="ar"/>
              </w:rPr>
              <w:t>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aps w:val="0"/>
                <w:color w:val="auto"/>
                <w:spacing w:val="0"/>
                <w:kern w:val="0"/>
                <w:sz w:val="24"/>
                <w:szCs w:val="24"/>
                <w:u w:val="none"/>
                <w:shd w:val="clear"/>
                <w:lang w:bidi="ar"/>
              </w:rPr>
              <w:t>网站</w:t>
            </w:r>
            <w:r>
              <w:rPr>
                <w:rFonts w:hint="eastAsia" w:ascii="黑体" w:hAnsi="黑体" w:eastAsia="黑体" w:cs="黑体"/>
                <w:b w:val="0"/>
                <w:bCs/>
                <w:i w:val="0"/>
                <w:caps w:val="0"/>
                <w:color w:val="auto"/>
                <w:spacing w:val="0"/>
                <w:kern w:val="0"/>
                <w:sz w:val="24"/>
                <w:szCs w:val="24"/>
                <w:u w:val="none"/>
                <w:shd w:val="clear"/>
                <w:lang w:eastAsia="zh-CN" w:bidi="ar"/>
              </w:rPr>
              <w:t>链接</w:t>
            </w:r>
          </w:p>
        </w:tc>
      </w:tr>
      <w:tr>
        <w:tblPrEx>
          <w:shd w:val="clear" w:color="auto" w:fill="auto"/>
          <w:tblCellMar>
            <w:top w:w="0" w:type="dxa"/>
            <w:left w:w="0" w:type="dxa"/>
            <w:bottom w:w="0" w:type="dxa"/>
            <w:right w:w="0" w:type="dxa"/>
          </w:tblCellMar>
        </w:tblPrEx>
        <w:trPr>
          <w:trHeight w:val="543"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1</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注册城乡规划师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自然资源部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相关行业协会</w:t>
            </w:r>
          </w:p>
        </w:tc>
        <w:tc>
          <w:tcPr>
            <w:tcW w:w="2265"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val="en-US" w:eastAsia="zh-CN"/>
              </w:rPr>
              <w:t>广州市人事服务中心</w:t>
            </w:r>
          </w:p>
        </w:tc>
        <w:tc>
          <w:tcPr>
            <w:tcW w:w="1692"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1"/>
                <w:szCs w:val="21"/>
                <w:vertAlign w:val="baseline"/>
                <w:lang w:eastAsia="zh-CN"/>
              </w:rPr>
              <w:t>详见广州市人力资源和社会保障局官网“人事考试</w:t>
            </w:r>
            <w:r>
              <w:rPr>
                <w:rFonts w:hint="eastAsia" w:ascii="Times New Roman" w:hAnsi="Times New Roman" w:eastAsia="仿宋_GB2312" w:cs="Times New Roman"/>
                <w:color w:val="auto"/>
                <w:sz w:val="21"/>
                <w:szCs w:val="21"/>
                <w:vertAlign w:val="baseline"/>
                <w:lang w:val="en-US" w:eastAsia="zh-CN"/>
              </w:rPr>
              <w:t>-报名通知”栏目</w:t>
            </w:r>
            <w:r>
              <w:rPr>
                <w:rFonts w:hint="eastAsia" w:ascii="Times New Roman" w:hAnsi="Times New Roman" w:eastAsia="仿宋_GB2312" w:cs="Times New Roman"/>
                <w:color w:val="auto"/>
                <w:sz w:val="21"/>
                <w:szCs w:val="21"/>
                <w:vertAlign w:val="baseline"/>
                <w:lang w:eastAsia="zh-CN"/>
              </w:rPr>
              <w:t>（http://rsj.gz.gov.cn/ywzt/rcgz/rsks/bmtz/）对应的报考须知。</w:t>
            </w:r>
          </w:p>
        </w:tc>
      </w:tr>
      <w:tr>
        <w:tblPrEx>
          <w:tblCellMar>
            <w:top w:w="0" w:type="dxa"/>
            <w:left w:w="0" w:type="dxa"/>
            <w:bottom w:w="0" w:type="dxa"/>
            <w:right w:w="0" w:type="dxa"/>
          </w:tblCellMar>
        </w:tblPrEx>
        <w:trPr>
          <w:trHeight w:val="845"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注册测绘师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w:t>
            </w:r>
          </w:p>
        </w:tc>
        <w:tc>
          <w:tcPr>
            <w:tcW w:w="254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自然资源部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533"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3</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注册建筑师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1"/>
                <w:szCs w:val="21"/>
                <w:highlight w:val="none"/>
                <w:vertAlign w:val="baseline"/>
                <w:lang w:val="en-US" w:eastAsia="zh-CN"/>
              </w:rPr>
            </w:pPr>
            <w:r>
              <w:rPr>
                <w:rFonts w:hint="eastAsia" w:ascii="Times New Roman" w:hAnsi="Times New Roman" w:eastAsia="仿宋_GB2312" w:cs="Times New Roman"/>
                <w:color w:val="auto"/>
                <w:sz w:val="21"/>
                <w:szCs w:val="21"/>
                <w:highlight w:val="none"/>
                <w:vertAlign w:val="baseline"/>
                <w:lang w:val="en-US" w:eastAsia="zh-CN"/>
              </w:rPr>
              <w:t>按照对等</w:t>
            </w:r>
          </w:p>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sz w:val="21"/>
                <w:szCs w:val="21"/>
                <w:u w:val="none"/>
                <w:lang w:val="en-US"/>
              </w:rPr>
            </w:pPr>
            <w:r>
              <w:rPr>
                <w:rFonts w:hint="eastAsia" w:ascii="Times New Roman" w:hAnsi="Times New Roman" w:eastAsia="仿宋_GB2312" w:cs="Times New Roman"/>
                <w:color w:val="auto"/>
                <w:sz w:val="21"/>
                <w:szCs w:val="21"/>
                <w:highlight w:val="none"/>
                <w:vertAlign w:val="baseline"/>
                <w:lang w:val="en-US" w:eastAsia="zh-CN"/>
              </w:rPr>
              <w:t>原则办理</w:t>
            </w:r>
            <w:r>
              <w:rPr>
                <w:rFonts w:hint="eastAsia" w:ascii="Times New Roman" w:hAnsi="Times New Roman" w:eastAsia="仿宋_GB2312" w:cs="Times New Roman"/>
                <w:color w:val="auto"/>
                <w:sz w:val="21"/>
                <w:szCs w:val="21"/>
                <w:highlight w:val="none"/>
                <w:vertAlign w:val="superscript"/>
                <w:lang w:val="en-US" w:eastAsia="zh-CN"/>
              </w:rPr>
              <w:fldChar w:fldCharType="begin"/>
            </w:r>
            <w:r>
              <w:rPr>
                <w:rFonts w:hint="eastAsia" w:ascii="Times New Roman" w:hAnsi="Times New Roman" w:eastAsia="仿宋_GB2312" w:cs="Times New Roman"/>
                <w:color w:val="auto"/>
                <w:sz w:val="21"/>
                <w:szCs w:val="21"/>
                <w:highlight w:val="none"/>
                <w:vertAlign w:val="superscript"/>
                <w:lang w:val="en-US" w:eastAsia="zh-CN"/>
              </w:rPr>
              <w:instrText xml:space="preserve"> REF _Ref14701 \r \h </w:instrText>
            </w:r>
            <w:r>
              <w:rPr>
                <w:rFonts w:hint="eastAsia" w:ascii="Times New Roman" w:hAnsi="Times New Roman" w:eastAsia="仿宋_GB2312" w:cs="Times New Roman"/>
                <w:color w:val="auto"/>
                <w:sz w:val="21"/>
                <w:szCs w:val="21"/>
                <w:highlight w:val="none"/>
                <w:vertAlign w:val="superscript"/>
                <w:lang w:val="en-US" w:eastAsia="zh-CN"/>
              </w:rPr>
              <w:fldChar w:fldCharType="separate"/>
            </w:r>
            <w:r>
              <w:rPr>
                <w:rFonts w:hint="eastAsia" w:ascii="Times New Roman" w:hAnsi="Times New Roman" w:eastAsia="仿宋_GB2312" w:cs="Times New Roman"/>
                <w:color w:val="auto"/>
                <w:sz w:val="21"/>
                <w:szCs w:val="21"/>
                <w:highlight w:val="none"/>
                <w:vertAlign w:val="superscript"/>
                <w:lang w:val="en-US" w:eastAsia="zh-CN"/>
              </w:rPr>
              <w:t>[</w:t>
            </w:r>
            <w:r>
              <w:rPr>
                <w:rFonts w:hint="default" w:ascii="Times New Roman" w:hAnsi="Times New Roman" w:eastAsia="仿宋_GB2312" w:cs="Times New Roman"/>
                <w:color w:val="auto"/>
                <w:sz w:val="21"/>
                <w:szCs w:val="21"/>
                <w:highlight w:val="none"/>
                <w:vertAlign w:val="superscript"/>
                <w:lang w:val="en-US" w:eastAsia="zh-CN"/>
              </w:rPr>
              <w:t>1</w:t>
            </w:r>
            <w:r>
              <w:rPr>
                <w:rFonts w:hint="eastAsia" w:ascii="Times New Roman" w:hAnsi="Times New Roman" w:eastAsia="仿宋_GB2312" w:cs="Times New Roman"/>
                <w:color w:val="auto"/>
                <w:sz w:val="21"/>
                <w:szCs w:val="21"/>
                <w:highlight w:val="none"/>
                <w:vertAlign w:val="superscript"/>
                <w:lang w:val="en-US" w:eastAsia="zh-CN"/>
              </w:rPr>
              <w:t>]</w:t>
            </w:r>
            <w:r>
              <w:rPr>
                <w:rFonts w:hint="eastAsia" w:ascii="Times New Roman" w:hAnsi="Times New Roman" w:eastAsia="仿宋_GB2312" w:cs="Times New Roman"/>
                <w:color w:val="auto"/>
                <w:sz w:val="21"/>
                <w:szCs w:val="21"/>
                <w:highlight w:val="none"/>
                <w:vertAlign w:val="superscript"/>
                <w:lang w:val="en-US" w:eastAsia="zh-CN"/>
              </w:rPr>
              <w:fldChar w:fldCharType="end"/>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全国注册建筑师管理委</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员会及省级注册建筑师</w:t>
            </w:r>
          </w:p>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highlight w:val="none"/>
                <w:vertAlign w:val="baseline"/>
                <w:lang w:eastAsia="zh-CN"/>
              </w:rPr>
              <w:t>管理委员会</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759"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4</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监理工程师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bookmarkStart w:id="0" w:name="OLE_LINK1"/>
            <w:r>
              <w:rPr>
                <w:rFonts w:hint="eastAsia" w:eastAsia="仿宋_GB2312" w:cs="Times New Roman"/>
                <w:color w:val="auto"/>
                <w:sz w:val="24"/>
                <w:szCs w:val="24"/>
                <w:highlight w:val="none"/>
                <w:vertAlign w:val="baseline"/>
                <w:lang w:eastAsia="zh-CN"/>
              </w:rPr>
              <w:t>住房和城乡建设部</w:t>
            </w:r>
          </w:p>
          <w:bookmarkEnd w:id="0"/>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交通运输部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水利部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806"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5</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造价工程师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highlight w:val="none"/>
                <w:u w:val="none"/>
                <w:lang w:val="en-US" w:eastAsia="zh-CN" w:bidi="ar"/>
              </w:rPr>
              <w:t>是</w:t>
            </w:r>
          </w:p>
        </w:tc>
        <w:tc>
          <w:tcPr>
            <w:tcW w:w="2548"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8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265" w:type="dxa"/>
            <w:vMerge w:val="continue"/>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序号</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职业资格名称</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sz w:val="24"/>
                <w:szCs w:val="24"/>
                <w:u w:val="none"/>
              </w:rPr>
            </w:pPr>
            <w:r>
              <w:rPr>
                <w:rFonts w:hint="eastAsia" w:ascii="黑体" w:hAnsi="黑体" w:eastAsia="黑体" w:cs="黑体"/>
                <w:b w:val="0"/>
                <w:bCs/>
                <w:i w:val="0"/>
                <w:color w:val="auto"/>
                <w:kern w:val="0"/>
                <w:sz w:val="24"/>
                <w:szCs w:val="24"/>
                <w:u w:val="none"/>
                <w:lang w:val="en-US" w:eastAsia="zh-CN" w:bidi="ar"/>
              </w:rPr>
              <w:t>报考</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color w:val="auto"/>
                <w:kern w:val="0"/>
                <w:sz w:val="24"/>
                <w:szCs w:val="24"/>
                <w:u w:val="none"/>
                <w:vertAlign w:val="baseline"/>
                <w:lang w:val="en-US" w:eastAsia="zh-CN" w:bidi="ar"/>
              </w:rPr>
            </w:pPr>
            <w:r>
              <w:rPr>
                <w:rFonts w:hint="eastAsia" w:ascii="黑体" w:hAnsi="黑体" w:eastAsia="黑体" w:cs="黑体"/>
                <w:b w:val="0"/>
                <w:bCs/>
                <w:color w:val="auto"/>
                <w:kern w:val="0"/>
                <w:sz w:val="24"/>
                <w:szCs w:val="24"/>
                <w:u w:val="none"/>
                <w:vertAlign w:val="baseline"/>
                <w:lang w:val="en-US" w:eastAsia="zh-CN" w:bidi="ar"/>
              </w:rPr>
              <w:t>实施部门</w:t>
            </w:r>
          </w:p>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color w:val="auto"/>
                <w:kern w:val="0"/>
                <w:sz w:val="24"/>
                <w:szCs w:val="24"/>
                <w:u w:val="none"/>
                <w:vertAlign w:val="baseline"/>
                <w:lang w:val="en-US" w:eastAsia="zh-CN" w:bidi="ar"/>
              </w:rPr>
              <w:t>（单位）</w:t>
            </w:r>
          </w:p>
        </w:tc>
        <w:tc>
          <w:tcPr>
            <w:tcW w:w="2265"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color w:val="auto"/>
                <w:kern w:val="0"/>
                <w:sz w:val="24"/>
                <w:szCs w:val="24"/>
                <w:u w:val="none"/>
                <w:vertAlign w:val="baseline"/>
                <w:lang w:val="en-US" w:eastAsia="zh-CN" w:bidi="ar"/>
              </w:rPr>
            </w:pPr>
            <w:r>
              <w:rPr>
                <w:rFonts w:hint="eastAsia" w:ascii="黑体" w:hAnsi="黑体" w:eastAsia="黑体" w:cs="黑体"/>
                <w:b w:val="0"/>
                <w:bCs/>
                <w:color w:val="auto"/>
                <w:kern w:val="0"/>
                <w:sz w:val="24"/>
                <w:szCs w:val="24"/>
                <w:u w:val="none"/>
                <w:vertAlign w:val="baseline"/>
                <w:lang w:val="en-US" w:eastAsia="zh-CN" w:bidi="ar"/>
              </w:rPr>
              <w:t>具体考务组织部门</w:t>
            </w:r>
          </w:p>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color w:val="auto"/>
                <w:kern w:val="0"/>
                <w:sz w:val="24"/>
                <w:szCs w:val="24"/>
                <w:u w:val="none"/>
                <w:vertAlign w:val="baseline"/>
                <w:lang w:val="en-US" w:eastAsia="zh-CN" w:bidi="ar"/>
              </w:rPr>
              <w:t>（单位）</w:t>
            </w:r>
          </w:p>
        </w:tc>
        <w:tc>
          <w:tcPr>
            <w:tcW w:w="1692"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aps w:val="0"/>
                <w:color w:val="auto"/>
                <w:spacing w:val="0"/>
                <w:kern w:val="0"/>
                <w:sz w:val="24"/>
                <w:szCs w:val="24"/>
                <w:u w:val="none"/>
                <w:shd w:val="clear"/>
                <w:lang w:eastAsia="zh-CN" w:bidi="ar"/>
              </w:rPr>
            </w:pPr>
            <w:r>
              <w:rPr>
                <w:rFonts w:hint="eastAsia" w:ascii="黑体" w:hAnsi="黑体" w:eastAsia="黑体" w:cs="黑体"/>
                <w:b w:val="0"/>
                <w:bCs/>
                <w:i w:val="0"/>
                <w:caps w:val="0"/>
                <w:color w:val="auto"/>
                <w:spacing w:val="0"/>
                <w:kern w:val="0"/>
                <w:sz w:val="24"/>
                <w:szCs w:val="24"/>
                <w:u w:val="none"/>
                <w:shd w:val="clear"/>
                <w:lang w:bidi="ar"/>
              </w:rPr>
              <w:t>报</w:t>
            </w:r>
            <w:r>
              <w:rPr>
                <w:rFonts w:hint="eastAsia" w:ascii="黑体" w:hAnsi="黑体" w:eastAsia="黑体" w:cs="黑体"/>
                <w:b w:val="0"/>
                <w:bCs/>
                <w:i w:val="0"/>
                <w:caps w:val="0"/>
                <w:color w:val="auto"/>
                <w:spacing w:val="0"/>
                <w:kern w:val="0"/>
                <w:sz w:val="24"/>
                <w:szCs w:val="24"/>
                <w:u w:val="none"/>
                <w:shd w:val="clear"/>
                <w:lang w:eastAsia="zh-CN" w:bidi="ar"/>
              </w:rPr>
              <w:t>名</w:t>
            </w:r>
            <w:r>
              <w:rPr>
                <w:rFonts w:hint="eastAsia" w:ascii="黑体" w:hAnsi="黑体" w:eastAsia="黑体" w:cs="黑体"/>
                <w:b w:val="0"/>
                <w:bCs/>
                <w:i w:val="0"/>
                <w:caps w:val="0"/>
                <w:color w:val="auto"/>
                <w:spacing w:val="0"/>
                <w:kern w:val="0"/>
                <w:sz w:val="24"/>
                <w:szCs w:val="24"/>
                <w:u w:val="none"/>
                <w:shd w:val="clear"/>
                <w:lang w:bidi="ar"/>
              </w:rPr>
              <w:t>指引</w:t>
            </w:r>
            <w:r>
              <w:rPr>
                <w:rFonts w:hint="eastAsia" w:ascii="黑体" w:hAnsi="黑体" w:eastAsia="黑体" w:cs="黑体"/>
                <w:b w:val="0"/>
                <w:bCs/>
                <w:i w:val="0"/>
                <w:caps w:val="0"/>
                <w:color w:val="auto"/>
                <w:spacing w:val="0"/>
                <w:kern w:val="0"/>
                <w:sz w:val="24"/>
                <w:szCs w:val="24"/>
                <w:u w:val="none"/>
                <w:shd w:val="clear"/>
                <w:lang w:eastAsia="zh-CN" w:bidi="ar"/>
              </w:rPr>
              <w:t>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aps w:val="0"/>
                <w:color w:val="auto"/>
                <w:spacing w:val="0"/>
                <w:kern w:val="0"/>
                <w:sz w:val="24"/>
                <w:szCs w:val="24"/>
                <w:u w:val="none"/>
                <w:shd w:val="clear"/>
                <w:lang w:bidi="ar"/>
              </w:rPr>
              <w:t>网站</w:t>
            </w:r>
            <w:r>
              <w:rPr>
                <w:rFonts w:hint="eastAsia" w:ascii="黑体" w:hAnsi="黑体" w:eastAsia="黑体" w:cs="黑体"/>
                <w:b w:val="0"/>
                <w:bCs/>
                <w:i w:val="0"/>
                <w:caps w:val="0"/>
                <w:color w:val="auto"/>
                <w:spacing w:val="0"/>
                <w:kern w:val="0"/>
                <w:sz w:val="24"/>
                <w:szCs w:val="24"/>
                <w:u w:val="none"/>
                <w:shd w:val="clear"/>
                <w:lang w:eastAsia="zh-CN" w:bidi="ar"/>
              </w:rPr>
              <w:t>链接</w:t>
            </w:r>
          </w:p>
        </w:tc>
      </w:tr>
      <w:tr>
        <w:tblPrEx>
          <w:shd w:val="clear" w:color="auto" w:fill="auto"/>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6</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房地产估价师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eastAsia="仿宋_GB2312" w:cs="Times New Roman"/>
                <w:color w:val="auto"/>
                <w:sz w:val="24"/>
                <w:szCs w:val="24"/>
                <w:highlight w:val="none"/>
                <w:vertAlign w:val="baseline"/>
                <w:lang w:eastAsia="zh-CN"/>
              </w:rPr>
              <w:t>住房和城乡建设部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自然资源部</w:t>
            </w:r>
          </w:p>
        </w:tc>
        <w:tc>
          <w:tcPr>
            <w:tcW w:w="2265" w:type="dxa"/>
            <w:vMerge w:val="restart"/>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广州市人事服务中心</w:t>
            </w:r>
          </w:p>
        </w:tc>
        <w:tc>
          <w:tcPr>
            <w:tcW w:w="1692" w:type="dxa"/>
            <w:vMerge w:val="restart"/>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1"/>
                <w:szCs w:val="21"/>
                <w:vertAlign w:val="baseline"/>
                <w:lang w:eastAsia="zh-CN"/>
              </w:rPr>
              <w:t>详见广州市人力资源和社会保障局官网“人事考试</w:t>
            </w:r>
            <w:r>
              <w:rPr>
                <w:rFonts w:hint="eastAsia" w:ascii="Times New Roman" w:hAnsi="Times New Roman" w:eastAsia="仿宋_GB2312" w:cs="Times New Roman"/>
                <w:color w:val="auto"/>
                <w:sz w:val="21"/>
                <w:szCs w:val="21"/>
                <w:vertAlign w:val="baseline"/>
                <w:lang w:val="en-US" w:eastAsia="zh-CN"/>
              </w:rPr>
              <w:t>-报名通知”栏目</w:t>
            </w:r>
            <w:r>
              <w:rPr>
                <w:rFonts w:hint="eastAsia" w:ascii="Times New Roman" w:hAnsi="Times New Roman" w:eastAsia="仿宋_GB2312" w:cs="Times New Roman"/>
                <w:color w:val="auto"/>
                <w:sz w:val="21"/>
                <w:szCs w:val="21"/>
                <w:vertAlign w:val="baseline"/>
                <w:lang w:eastAsia="zh-CN"/>
              </w:rPr>
              <w:t>（http://rsj.gz.gov.cn/ywzt/rcgz/rsks/bmtz/）对应的报考须知。</w:t>
            </w: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7</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建造师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eastAsia="仿宋_GB2312" w:cs="Times New Roman"/>
                <w:color w:val="auto"/>
                <w:sz w:val="24"/>
                <w:szCs w:val="24"/>
                <w:highlight w:val="none"/>
                <w:vertAlign w:val="baseline"/>
                <w:lang w:eastAsia="zh-CN"/>
              </w:rPr>
              <w:t>住房和城乡建设部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504"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8</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勘察设计注册工程师</w:t>
            </w:r>
          </w:p>
        </w:tc>
        <w:tc>
          <w:tcPr>
            <w:tcW w:w="2527" w:type="dxa"/>
            <w:gridSpan w:val="2"/>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color w:val="auto"/>
                <w:sz w:val="24"/>
                <w:szCs w:val="24"/>
                <w:vertAlign w:val="baseline"/>
                <w:lang w:eastAsia="zh-CN"/>
              </w:rPr>
              <w:t>注册结构工程师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restart"/>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eastAsia="仿宋_GB2312" w:cs="Times New Roman"/>
                <w:color w:val="auto"/>
                <w:sz w:val="24"/>
                <w:szCs w:val="24"/>
                <w:highlight w:val="none"/>
                <w:vertAlign w:val="baseline"/>
                <w:lang w:eastAsia="zh-CN"/>
              </w:rPr>
              <w:t>住房和城乡建设部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88" w:hRule="atLeast"/>
          <w:jc w:val="center"/>
        </w:trPr>
        <w:tc>
          <w:tcPr>
            <w:tcW w:w="630" w:type="dxa"/>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9</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527" w:type="dxa"/>
            <w:gridSpan w:val="2"/>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color w:val="auto"/>
                <w:sz w:val="24"/>
                <w:szCs w:val="24"/>
                <w:vertAlign w:val="baseline"/>
                <w:lang w:eastAsia="zh-CN"/>
              </w:rPr>
              <w:t>注册化工工程师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469" w:hRule="atLeast"/>
          <w:jc w:val="center"/>
        </w:trPr>
        <w:tc>
          <w:tcPr>
            <w:tcW w:w="630" w:type="dxa"/>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10</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527" w:type="dxa"/>
            <w:gridSpan w:val="2"/>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color w:val="auto"/>
                <w:sz w:val="24"/>
                <w:szCs w:val="24"/>
                <w:vertAlign w:val="baseline"/>
                <w:lang w:eastAsia="zh-CN"/>
              </w:rPr>
              <w:t>注册电气工程师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512" w:hRule="atLeast"/>
          <w:jc w:val="center"/>
        </w:trPr>
        <w:tc>
          <w:tcPr>
            <w:tcW w:w="630"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11</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527" w:type="dxa"/>
            <w:gridSpan w:val="2"/>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color w:val="auto"/>
                <w:sz w:val="24"/>
                <w:szCs w:val="24"/>
                <w:vertAlign w:val="baseline"/>
                <w:lang w:eastAsia="zh-CN"/>
              </w:rPr>
              <w:t>注册公用设备工程师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362" w:hRule="atLeast"/>
          <w:jc w:val="center"/>
        </w:trPr>
        <w:tc>
          <w:tcPr>
            <w:tcW w:w="630"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12</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732" w:type="dxa"/>
            <w:vMerge w:val="restart"/>
            <w:tcBorders>
              <w:top w:val="single" w:color="auto" w:sz="4" w:space="0"/>
              <w:left w:val="single" w:color="000000"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center"/>
              <w:textAlignment w:val="center"/>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i w:val="0"/>
                <w:color w:val="auto"/>
                <w:sz w:val="24"/>
                <w:szCs w:val="24"/>
                <w:u w:val="none"/>
                <w:lang w:eastAsia="zh-CN"/>
              </w:rPr>
              <w:t>注册土木工程师</w:t>
            </w:r>
          </w:p>
        </w:tc>
        <w:tc>
          <w:tcPr>
            <w:tcW w:w="1795" w:type="dxa"/>
            <w:tcBorders>
              <w:top w:val="single" w:color="000000" w:sz="4" w:space="0"/>
              <w:left w:val="single" w:color="auto"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i w:val="0"/>
                <w:color w:val="auto"/>
                <w:sz w:val="24"/>
                <w:szCs w:val="24"/>
                <w:u w:val="none"/>
                <w:lang w:eastAsia="zh-CN"/>
              </w:rPr>
              <w:t>岩土</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eastAsia="仿宋_GB2312" w:cs="Times New Roman"/>
                <w:color w:val="auto"/>
                <w:sz w:val="24"/>
                <w:szCs w:val="24"/>
                <w:highlight w:val="none"/>
                <w:vertAlign w:val="baseline"/>
                <w:lang w:eastAsia="zh-CN"/>
              </w:rPr>
              <w:t>住房和城乡建设部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交通运输部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水利部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357" w:hRule="atLeast"/>
          <w:jc w:val="center"/>
        </w:trPr>
        <w:tc>
          <w:tcPr>
            <w:tcW w:w="630"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13</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732" w:type="dxa"/>
            <w:vMerge w:val="continue"/>
            <w:tcBorders>
              <w:left w:val="single" w:color="000000"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auto"/>
                <w:sz w:val="24"/>
                <w:szCs w:val="24"/>
                <w:u w:val="none"/>
              </w:rPr>
            </w:pPr>
          </w:p>
        </w:tc>
        <w:tc>
          <w:tcPr>
            <w:tcW w:w="1795" w:type="dxa"/>
            <w:tcBorders>
              <w:top w:val="single" w:color="000000" w:sz="4" w:space="0"/>
              <w:left w:val="single" w:color="auto"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eastAsia" w:ascii="Times New Roman" w:hAnsi="Times New Roman" w:eastAsia="仿宋_GB2312" w:cs="Times New Roman"/>
                <w:i w:val="0"/>
                <w:color w:val="auto"/>
                <w:sz w:val="24"/>
                <w:szCs w:val="24"/>
                <w:u w:val="none"/>
                <w:lang w:eastAsia="zh-CN"/>
              </w:rPr>
            </w:pPr>
            <w:r>
              <w:rPr>
                <w:rFonts w:hint="eastAsia" w:ascii="Times New Roman" w:hAnsi="Times New Roman" w:eastAsia="仿宋_GB2312" w:cs="Times New Roman"/>
                <w:i w:val="0"/>
                <w:color w:val="auto"/>
                <w:sz w:val="24"/>
                <w:szCs w:val="24"/>
                <w:u w:val="none"/>
                <w:lang w:eastAsia="zh-CN"/>
              </w:rPr>
              <w:t>港口与航道工程</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394" w:hRule="atLeast"/>
          <w:jc w:val="center"/>
        </w:trPr>
        <w:tc>
          <w:tcPr>
            <w:tcW w:w="630"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14</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732" w:type="dxa"/>
            <w:vMerge w:val="continue"/>
            <w:tcBorders>
              <w:left w:val="single" w:color="000000"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795" w:type="dxa"/>
            <w:tcBorders>
              <w:top w:val="single" w:color="000000" w:sz="4" w:space="0"/>
              <w:left w:val="single" w:color="auto"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水利水电工程</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45" w:hRule="atLeast"/>
          <w:jc w:val="center"/>
        </w:trPr>
        <w:tc>
          <w:tcPr>
            <w:tcW w:w="630"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15</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732" w:type="dxa"/>
            <w:vMerge w:val="continue"/>
            <w:tcBorders>
              <w:left w:val="single" w:color="000000" w:sz="4" w:space="0"/>
              <w:bottom w:val="single" w:color="000000" w:sz="4" w:space="0"/>
              <w:right w:val="single" w:color="auto"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795" w:type="dxa"/>
            <w:tcBorders>
              <w:top w:val="single" w:color="000000" w:sz="4" w:space="0"/>
              <w:left w:val="single" w:color="auto"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道路工程</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768" w:hRule="atLeast"/>
          <w:jc w:val="center"/>
        </w:trPr>
        <w:tc>
          <w:tcPr>
            <w:tcW w:w="630" w:type="dxa"/>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16</w:t>
            </w:r>
          </w:p>
        </w:tc>
        <w:tc>
          <w:tcPr>
            <w:tcW w:w="78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527" w:type="dxa"/>
            <w:gridSpan w:val="2"/>
            <w:tcBorders>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spacing w:line="300" w:lineRule="exact"/>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eastAsia="zh-CN"/>
              </w:rPr>
              <w:t>注册环保工程师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eastAsia="仿宋_GB2312" w:cs="Times New Roman"/>
                <w:color w:val="auto"/>
                <w:sz w:val="24"/>
                <w:szCs w:val="24"/>
                <w:highlight w:val="none"/>
                <w:vertAlign w:val="baseline"/>
                <w:lang w:eastAsia="zh-CN"/>
              </w:rPr>
              <w:t>住房和城乡建设部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生态环境部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75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17</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注册安全工程师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应急管理部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6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18</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注册消防工程师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highlight w:val="none"/>
                <w:u w:val="none"/>
              </w:rPr>
            </w:pPr>
            <w:r>
              <w:rPr>
                <w:rFonts w:hint="default" w:ascii="Times New Roman" w:hAnsi="Times New Roman" w:eastAsia="仿宋_GB2312" w:cs="Times New Roman"/>
                <w:i w:val="0"/>
                <w:color w:val="auto"/>
                <w:kern w:val="0"/>
                <w:sz w:val="24"/>
                <w:szCs w:val="24"/>
                <w:highlight w:val="none"/>
                <w:u w:val="none"/>
                <w:lang w:val="en-US" w:eastAsia="zh-CN" w:bidi="ar"/>
              </w:rPr>
              <w:t>——</w:t>
            </w:r>
          </w:p>
        </w:tc>
        <w:tc>
          <w:tcPr>
            <w:tcW w:w="110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highlight w:val="none"/>
                <w:u w:val="none"/>
              </w:rPr>
            </w:pPr>
            <w:r>
              <w:rPr>
                <w:rFonts w:hint="default" w:eastAsia="仿宋_GB2312" w:cs="Times New Roman"/>
                <w:i w:val="0"/>
                <w:color w:val="auto"/>
                <w:kern w:val="0"/>
                <w:sz w:val="24"/>
                <w:szCs w:val="24"/>
                <w:highlight w:val="none"/>
                <w:u w:val="none"/>
                <w:lang w:val="en-US" w:eastAsia="zh-CN" w:bidi="ar"/>
              </w:rPr>
              <w:t>——</w:t>
            </w:r>
          </w:p>
        </w:tc>
        <w:tc>
          <w:tcPr>
            <w:tcW w:w="2548" w:type="dxa"/>
            <w:vMerge w:val="continue"/>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265"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序号</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职业资格名称</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0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254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实施部门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具体考务组织部门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报名指引及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网站链接</w:t>
            </w:r>
          </w:p>
        </w:tc>
      </w:tr>
      <w:tr>
        <w:tblPrEx>
          <w:shd w:val="clear" w:color="auto" w:fill="auto"/>
          <w:tblCellMar>
            <w:top w:w="0" w:type="dxa"/>
            <w:left w:w="0" w:type="dxa"/>
            <w:bottom w:w="0" w:type="dxa"/>
            <w:right w:w="0" w:type="dxa"/>
          </w:tblCellMar>
        </w:tblPrEx>
        <w:trPr>
          <w:trHeight w:val="52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19</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注册计量师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市场监管总局</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广州市人事服务中心</w:t>
            </w:r>
          </w:p>
        </w:tc>
        <w:tc>
          <w:tcPr>
            <w:tcW w:w="1692"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1"/>
                <w:szCs w:val="21"/>
                <w:vertAlign w:val="baseline"/>
                <w:lang w:eastAsia="zh-CN"/>
              </w:rPr>
              <w:t>详见广州市人力资源和社会保障局官网“人事考试</w:t>
            </w:r>
            <w:r>
              <w:rPr>
                <w:rFonts w:hint="eastAsia" w:ascii="Times New Roman" w:hAnsi="Times New Roman" w:eastAsia="仿宋_GB2312" w:cs="Times New Roman"/>
                <w:color w:val="auto"/>
                <w:sz w:val="21"/>
                <w:szCs w:val="21"/>
                <w:vertAlign w:val="baseline"/>
                <w:lang w:val="en-US" w:eastAsia="zh-CN"/>
              </w:rPr>
              <w:t>-报名通知”栏目</w:t>
            </w:r>
            <w:r>
              <w:rPr>
                <w:rFonts w:hint="eastAsia" w:ascii="Times New Roman" w:hAnsi="Times New Roman" w:eastAsia="仿宋_GB2312" w:cs="Times New Roman"/>
                <w:color w:val="auto"/>
                <w:sz w:val="21"/>
                <w:szCs w:val="21"/>
                <w:vertAlign w:val="baseline"/>
                <w:lang w:eastAsia="zh-CN"/>
              </w:rPr>
              <w:t>（http://rsj.gz.gov.cn/ywzt/rcgz/rsks/bmtz/）对应的报考须知。</w:t>
            </w:r>
          </w:p>
        </w:tc>
      </w:tr>
      <w:tr>
        <w:tblPrEx>
          <w:tblCellMar>
            <w:top w:w="0" w:type="dxa"/>
            <w:left w:w="0" w:type="dxa"/>
            <w:bottom w:w="0" w:type="dxa"/>
            <w:right w:w="0" w:type="dxa"/>
          </w:tblCellMar>
        </w:tblPrEx>
        <w:trPr>
          <w:trHeight w:val="545"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20</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color w:val="auto"/>
                <w:kern w:val="0"/>
                <w:sz w:val="24"/>
                <w:szCs w:val="24"/>
                <w:u w:val="none"/>
                <w:lang w:bidi="ar"/>
              </w:rPr>
            </w:pPr>
            <w:r>
              <w:rPr>
                <w:rFonts w:hint="default" w:ascii="Times New Roman" w:hAnsi="Times New Roman" w:eastAsia="仿宋_GB2312" w:cs="Times New Roman"/>
                <w:color w:val="auto"/>
                <w:kern w:val="0"/>
                <w:sz w:val="24"/>
                <w:szCs w:val="24"/>
                <w:u w:val="none"/>
                <w:vertAlign w:val="baseline"/>
                <w:lang w:eastAsia="zh-CN" w:bidi="ar"/>
              </w:rPr>
              <w:t>设备监理师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21</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u w:val="none"/>
                <w:vertAlign w:val="baseline"/>
                <w:lang w:eastAsia="zh-CN" w:bidi="ar"/>
              </w:rPr>
            </w:pPr>
            <w:r>
              <w:rPr>
                <w:rFonts w:hint="default" w:ascii="Times New Roman" w:hAnsi="Times New Roman" w:eastAsia="仿宋_GB2312" w:cs="Times New Roman"/>
                <w:i w:val="0"/>
                <w:color w:val="auto"/>
                <w:kern w:val="0"/>
                <w:sz w:val="24"/>
                <w:szCs w:val="24"/>
                <w:u w:val="none"/>
                <w:lang w:val="en-US" w:eastAsia="zh-CN" w:bidi="ar"/>
              </w:rPr>
              <w:t>执业药师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国家药监局</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22</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color w:val="auto"/>
                <w:kern w:val="0"/>
                <w:sz w:val="24"/>
                <w:szCs w:val="24"/>
                <w:u w:val="none"/>
                <w:lang w:bidi="ar"/>
              </w:rPr>
            </w:pPr>
            <w:r>
              <w:rPr>
                <w:rFonts w:hint="default" w:ascii="Times New Roman" w:hAnsi="Times New Roman" w:eastAsia="仿宋_GB2312" w:cs="Times New Roman"/>
                <w:color w:val="auto"/>
                <w:kern w:val="0"/>
                <w:sz w:val="24"/>
                <w:szCs w:val="24"/>
                <w:u w:val="none"/>
                <w:vertAlign w:val="baseline"/>
                <w:lang w:eastAsia="zh-CN" w:bidi="ar"/>
              </w:rPr>
              <w:t>工程咨询（投资）专业技术人员职业资格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国家发展和改革委员会</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中国工程咨询协会</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23</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计算机技术与软件专业技术</w:t>
            </w:r>
          </w:p>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工业和信息化部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515"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24</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社会工作者职业资格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eastAsia="仿宋_GB2312" w:cs="Times New Roman"/>
                <w:i w:val="0"/>
                <w:color w:val="auto"/>
                <w:kern w:val="0"/>
                <w:sz w:val="24"/>
                <w:szCs w:val="24"/>
                <w:highlight w:val="none"/>
                <w:u w:val="none"/>
                <w:lang w:val="en-US" w:eastAsia="zh-CN" w:bidi="ar"/>
              </w:rPr>
              <w:t>——</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545"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25</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经济专业技术资格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26</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环境影响评价工程师</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生态环境部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27</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审计专业技术资格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审计署</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28</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统计专业技术资格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eastAsia"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国家统计局</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shd w:val="clear" w:color="auto" w:fill="auto"/>
          <w:tblCellMar>
            <w:top w:w="0" w:type="dxa"/>
            <w:left w:w="0" w:type="dxa"/>
            <w:bottom w:w="0" w:type="dxa"/>
            <w:right w:w="0" w:type="dxa"/>
          </w:tblCellMar>
        </w:tblPrEx>
        <w:trPr>
          <w:trHeight w:val="4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29</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翻译专业资格</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sz w:val="24"/>
                <w:szCs w:val="24"/>
                <w:u w:val="none"/>
              </w:rPr>
            </w:pPr>
            <w:r>
              <w:rPr>
                <w:rFonts w:hint="default" w:ascii="Times New Roman" w:hAnsi="Times New Roman" w:eastAsia="仿宋_GB2312" w:cs="Times New Roman"/>
                <w:i w:val="0"/>
                <w:color w:val="auto"/>
                <w:kern w:val="0"/>
                <w:sz w:val="24"/>
                <w:szCs w:val="24"/>
                <w:u w:val="none"/>
                <w:lang w:val="en-US" w:eastAsia="zh-CN" w:bidi="ar"/>
              </w:rPr>
              <w:t>是</w:t>
            </w:r>
          </w:p>
        </w:tc>
        <w:tc>
          <w:tcPr>
            <w:tcW w:w="25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中国外文局</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65"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1692"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行业主管部门组织实施（</w:t>
      </w:r>
      <w:r>
        <w:rPr>
          <w:rFonts w:hint="default" w:ascii="Times New Roman" w:hAnsi="Times New Roman" w:eastAsia="黑体" w:cs="Times New Roman"/>
          <w:b w:val="0"/>
          <w:bCs w:val="0"/>
          <w:color w:val="auto"/>
          <w:sz w:val="32"/>
          <w:szCs w:val="32"/>
          <w:lang w:val="en-US" w:eastAsia="zh-CN"/>
        </w:rPr>
        <w:t>12</w:t>
      </w:r>
      <w:r>
        <w:rPr>
          <w:rFonts w:hint="eastAsia" w:ascii="黑体" w:hAnsi="黑体" w:eastAsia="黑体" w:cs="黑体"/>
          <w:b w:val="0"/>
          <w:bCs w:val="0"/>
          <w:color w:val="auto"/>
          <w:sz w:val="32"/>
          <w:szCs w:val="32"/>
          <w:lang w:val="en-US" w:eastAsia="zh-CN"/>
        </w:rPr>
        <w:t>项）</w:t>
      </w:r>
    </w:p>
    <w:tbl>
      <w:tblPr>
        <w:tblStyle w:val="10"/>
        <w:tblW w:w="14611" w:type="dxa"/>
        <w:tblInd w:w="-153" w:type="dxa"/>
        <w:shd w:val="clear" w:color="auto" w:fill="auto"/>
        <w:tblLayout w:type="fixed"/>
        <w:tblCellMar>
          <w:top w:w="0" w:type="dxa"/>
          <w:left w:w="0" w:type="dxa"/>
          <w:bottom w:w="0" w:type="dxa"/>
          <w:right w:w="0" w:type="dxa"/>
        </w:tblCellMar>
      </w:tblPr>
      <w:tblGrid>
        <w:gridCol w:w="630"/>
        <w:gridCol w:w="2410"/>
        <w:gridCol w:w="1011"/>
        <w:gridCol w:w="1102"/>
        <w:gridCol w:w="1182"/>
        <w:gridCol w:w="1114"/>
        <w:gridCol w:w="2201"/>
        <w:gridCol w:w="2250"/>
        <w:gridCol w:w="2711"/>
      </w:tblGrid>
      <w:tr>
        <w:tblPrEx>
          <w:shd w:val="clear" w:color="auto" w:fill="auto"/>
          <w:tblCellMar>
            <w:top w:w="0" w:type="dxa"/>
            <w:left w:w="0" w:type="dxa"/>
            <w:bottom w:w="0" w:type="dxa"/>
            <w:right w:w="0" w:type="dxa"/>
          </w:tblCellMar>
        </w:tblPrEx>
        <w:trPr>
          <w:trHeight w:val="4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职业资格名称</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实施部门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具体考务组织部门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报名指引及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网站链接</w:t>
            </w:r>
          </w:p>
        </w:tc>
      </w:tr>
      <w:tr>
        <w:tblPrEx>
          <w:shd w:val="clear" w:color="auto" w:fill="auto"/>
          <w:tblCellMar>
            <w:top w:w="0" w:type="dxa"/>
            <w:left w:w="0" w:type="dxa"/>
            <w:bottom w:w="0" w:type="dxa"/>
            <w:right w:w="0" w:type="dxa"/>
          </w:tblCellMar>
        </w:tblPrEx>
        <w:trPr>
          <w:trHeight w:val="263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val="en-US" w:eastAsia="zh-CN"/>
              </w:rPr>
              <w:t>教师资格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4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ascii="Times New Roman" w:hAnsi="Times New Roman" w:eastAsia="仿宋_GB2312" w:cs="Times New Roman"/>
                <w:color w:val="auto"/>
                <w:kern w:val="0"/>
                <w:sz w:val="24"/>
                <w:lang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4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ascii="Times New Roman" w:hAnsi="Times New Roman" w:eastAsia="仿宋_GB2312" w:cs="Times New Roman"/>
                <w:color w:val="auto"/>
                <w:kern w:val="0"/>
                <w:sz w:val="24"/>
                <w:lang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4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ascii="Times New Roman" w:hAnsi="Times New Roman" w:eastAsia="仿宋_GB2312" w:cs="Times New Roman"/>
                <w:color w:val="auto"/>
                <w:kern w:val="0"/>
                <w:sz w:val="24"/>
                <w:lang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460" w:lineRule="exact"/>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highlight w:val="none"/>
                <w:u w:val="none"/>
                <w:lang w:val="en-US" w:eastAsia="zh-CN" w:bidi="ar"/>
              </w:rPr>
              <w:t>——</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教育部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kern w:val="0"/>
                <w:sz w:val="24"/>
                <w:lang w:bidi="ar"/>
              </w:rPr>
              <w:t>广州市招生考试委员会办公室</w:t>
            </w:r>
            <w:r>
              <w:rPr>
                <w:rFonts w:hint="eastAsia" w:eastAsia="仿宋_GB2312" w:cs="Times New Roman"/>
                <w:color w:val="auto"/>
                <w:kern w:val="0"/>
                <w:sz w:val="24"/>
                <w:lang w:eastAsia="zh-CN" w:bidi="ar"/>
              </w:rPr>
              <w:t>负责笔试考务组织工作；</w:t>
            </w:r>
            <w:r>
              <w:rPr>
                <w:rFonts w:ascii="Times New Roman" w:hAnsi="Times New Roman" w:eastAsia="仿宋_GB2312" w:cs="Times New Roman"/>
                <w:color w:val="auto"/>
                <w:kern w:val="0"/>
                <w:sz w:val="24"/>
                <w:lang w:bidi="ar"/>
              </w:rPr>
              <w:t>广州市教育评估和教师继续教育指导中心负责教师资格面试具体考务组织工作</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exact"/>
              <w:jc w:val="left"/>
              <w:textAlignment w:val="center"/>
              <w:rPr>
                <w:rFonts w:hint="eastAsia" w:eastAsia="仿宋_GB2312" w:cs="Times New Roman"/>
                <w:color w:val="auto"/>
                <w:kern w:val="0"/>
                <w:sz w:val="21"/>
                <w:szCs w:val="21"/>
                <w:lang w:eastAsia="zh-CN" w:bidi="ar"/>
              </w:rPr>
            </w:pPr>
            <w:r>
              <w:rPr>
                <w:rFonts w:hint="eastAsia" w:eastAsia="仿宋_GB2312" w:cs="Times New Roman"/>
                <w:color w:val="auto"/>
                <w:kern w:val="0"/>
                <w:sz w:val="21"/>
                <w:szCs w:val="21"/>
                <w:lang w:eastAsia="zh-CN" w:bidi="ar"/>
              </w:rPr>
              <w:t>笔试：详见广州招考网“社会考试”栏目（http://gzzk.gz.gov.cn/shks/index.html）；</w:t>
            </w:r>
          </w:p>
          <w:p>
            <w:pPr>
              <w:widowControl/>
              <w:spacing w:line="360" w:lineRule="exact"/>
              <w:jc w:val="left"/>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eastAsia="仿宋_GB2312" w:cs="Times New Roman"/>
                <w:color w:val="auto"/>
                <w:kern w:val="0"/>
                <w:sz w:val="21"/>
                <w:szCs w:val="21"/>
                <w:lang w:eastAsia="zh-CN" w:bidi="ar"/>
              </w:rPr>
              <w:t>面试：</w:t>
            </w:r>
            <w:r>
              <w:rPr>
                <w:rFonts w:hint="eastAsia" w:ascii="Times New Roman" w:hAnsi="Times New Roman" w:eastAsia="仿宋_GB2312" w:cs="Times New Roman"/>
                <w:color w:val="auto"/>
                <w:kern w:val="0"/>
                <w:sz w:val="21"/>
                <w:szCs w:val="21"/>
                <w:lang w:bidi="ar"/>
              </w:rPr>
              <w:t>详见</w:t>
            </w:r>
            <w:r>
              <w:rPr>
                <w:rFonts w:ascii="Times New Roman" w:hAnsi="Times New Roman" w:eastAsia="仿宋_GB2312" w:cs="Times New Roman"/>
                <w:color w:val="auto"/>
                <w:kern w:val="0"/>
                <w:sz w:val="21"/>
                <w:szCs w:val="21"/>
                <w:lang w:bidi="ar"/>
              </w:rPr>
              <w:t>中国教师资格网、广州市教育局官网和广州市教育评估中心微信公众号对应的通知公告</w:t>
            </w:r>
            <w:r>
              <w:rPr>
                <w:rFonts w:hint="eastAsia" w:ascii="Times New Roman" w:hAnsi="Times New Roman" w:eastAsia="仿宋_GB2312" w:cs="Times New Roman"/>
                <w:color w:val="auto"/>
                <w:kern w:val="0"/>
                <w:sz w:val="21"/>
                <w:szCs w:val="21"/>
                <w:lang w:eastAsia="zh-CN" w:bidi="ar"/>
              </w:rPr>
              <w:t>。</w:t>
            </w:r>
          </w:p>
        </w:tc>
      </w:tr>
      <w:tr>
        <w:tblPrEx>
          <w:shd w:val="clear" w:color="auto" w:fill="auto"/>
          <w:tblCellMar>
            <w:top w:w="0" w:type="dxa"/>
            <w:left w:w="0" w:type="dxa"/>
            <w:bottom w:w="0" w:type="dxa"/>
            <w:right w:w="0" w:type="dxa"/>
          </w:tblCellMar>
        </w:tblPrEx>
        <w:trPr>
          <w:trHeight w:val="236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31</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val="en-US" w:eastAsia="zh-CN"/>
              </w:rPr>
              <w:t>法律职业资格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司法部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sz w:val="24"/>
              </w:rPr>
              <w:t>广州市司法局</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20" w:lineRule="exact"/>
              <w:jc w:val="left"/>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color w:val="auto"/>
                <w:sz w:val="21"/>
                <w:szCs w:val="21"/>
              </w:rPr>
              <w:t>详见广州市司法局官网“法律职业资格考试”平台通知公告栏</w:t>
            </w:r>
            <w:r>
              <w:rPr>
                <w:rFonts w:hint="eastAsia" w:ascii="Times New Roman" w:hAnsi="Times New Roman" w:eastAsia="仿宋_GB2312" w:cs="Times New Roman"/>
                <w:color w:val="auto"/>
                <w:sz w:val="21"/>
                <w:szCs w:val="21"/>
                <w:lang w:eastAsia="zh-CN"/>
              </w:rPr>
              <w:t>目</w:t>
            </w:r>
            <w:r>
              <w:rPr>
                <w:rFonts w:hint="default" w:ascii="Times New Roman" w:hAnsi="Times New Roman" w:eastAsia="仿宋_GB2312" w:cs="Times New Roman"/>
                <w:color w:val="auto"/>
                <w:sz w:val="21"/>
                <w:szCs w:val="21"/>
              </w:rPr>
              <w:t>（http://sfj.gz.gov.cn/webUI/news/NewsMessageList.aspx?ID=1）或</w:t>
            </w:r>
            <w:r>
              <w:rPr>
                <w:rFonts w:hint="eastAsia" w:eastAsia="仿宋_GB2312" w:cs="Times New Roman"/>
                <w:color w:val="auto"/>
                <w:sz w:val="21"/>
                <w:szCs w:val="21"/>
                <w:lang w:eastAsia="zh-CN"/>
              </w:rPr>
              <w:t>“</w:t>
            </w:r>
            <w:r>
              <w:rPr>
                <w:rFonts w:hint="eastAsia" w:ascii="Times New Roman" w:hAnsi="Times New Roman" w:eastAsia="仿宋_GB2312" w:cs="Times New Roman"/>
                <w:i w:val="0"/>
                <w:color w:val="auto"/>
                <w:kern w:val="0"/>
                <w:sz w:val="21"/>
                <w:szCs w:val="21"/>
                <w:u w:val="none"/>
                <w:lang w:val="en-US" w:eastAsia="zh-CN" w:bidi="ar"/>
              </w:rPr>
              <w:t>广州司法行政</w:t>
            </w:r>
            <w:r>
              <w:rPr>
                <w:rFonts w:hint="eastAsia" w:eastAsia="仿宋_GB2312" w:cs="Times New Roman"/>
                <w:color w:val="auto"/>
                <w:sz w:val="21"/>
                <w:szCs w:val="21"/>
                <w:lang w:eastAsia="zh-CN"/>
              </w:rPr>
              <w:t>”</w:t>
            </w:r>
            <w:r>
              <w:rPr>
                <w:rFonts w:hint="default" w:ascii="Times New Roman" w:hAnsi="Times New Roman" w:eastAsia="仿宋_GB2312" w:cs="Times New Roman"/>
                <w:color w:val="auto"/>
                <w:sz w:val="21"/>
                <w:szCs w:val="21"/>
              </w:rPr>
              <w:t>微信公众号对应的通知。</w:t>
            </w:r>
          </w:p>
        </w:tc>
      </w:tr>
      <w:tr>
        <w:tblPrEx>
          <w:tblCellMar>
            <w:top w:w="0" w:type="dxa"/>
            <w:left w:w="0" w:type="dxa"/>
            <w:bottom w:w="0" w:type="dxa"/>
            <w:right w:w="0" w:type="dxa"/>
          </w:tblCellMar>
        </w:tblPrEx>
        <w:trPr>
          <w:trHeight w:val="14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32</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eastAsia="zh-CN"/>
              </w:rPr>
              <w:t>注册</w:t>
            </w:r>
            <w:r>
              <w:rPr>
                <w:rFonts w:hint="eastAsia" w:ascii="Times New Roman" w:hAnsi="Times New Roman" w:eastAsia="仿宋_GB2312" w:cs="Times New Roman"/>
                <w:color w:val="auto"/>
                <w:sz w:val="24"/>
                <w:szCs w:val="24"/>
                <w:vertAlign w:val="baseline"/>
                <w:lang w:eastAsia="zh-CN"/>
              </w:rPr>
              <w:t>会计</w:t>
            </w:r>
            <w:r>
              <w:rPr>
                <w:rFonts w:hint="default" w:ascii="Times New Roman" w:hAnsi="Times New Roman" w:eastAsia="仿宋_GB2312" w:cs="Times New Roman"/>
                <w:color w:val="auto"/>
                <w:sz w:val="24"/>
                <w:szCs w:val="24"/>
                <w:vertAlign w:val="baseline"/>
                <w:lang w:eastAsia="zh-CN"/>
              </w:rPr>
              <w:t>师</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财政部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8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highlight w:val="none"/>
                <w:vertAlign w:val="baseline"/>
                <w:lang w:eastAsia="zh-CN"/>
              </w:rPr>
              <w:t>广州注册会计师协会</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1"/>
                <w:szCs w:val="21"/>
                <w:vertAlign w:val="baseline"/>
                <w:lang w:eastAsia="zh-CN"/>
              </w:rPr>
              <w:t>详见广州注册会计师协会官网“通知公告</w:t>
            </w:r>
            <w:r>
              <w:rPr>
                <w:rFonts w:hint="eastAsia" w:ascii="Times New Roman" w:hAnsi="Times New Roman" w:eastAsia="仿宋_GB2312" w:cs="Times New Roman"/>
                <w:color w:val="auto"/>
                <w:sz w:val="21"/>
                <w:szCs w:val="21"/>
                <w:vertAlign w:val="baseline"/>
                <w:lang w:val="en-US" w:eastAsia="zh-CN"/>
              </w:rPr>
              <w:t>-注师考试”栏目</w:t>
            </w:r>
            <w:r>
              <w:rPr>
                <w:rFonts w:hint="eastAsia" w:ascii="Times New Roman" w:hAnsi="Times New Roman" w:eastAsia="仿宋_GB2312" w:cs="Times New Roman"/>
                <w:color w:val="auto"/>
                <w:sz w:val="21"/>
                <w:szCs w:val="21"/>
                <w:vertAlign w:val="baseline"/>
                <w:lang w:eastAsia="zh-CN"/>
              </w:rPr>
              <w:t>（https://www.gzicpa.org.cn/Htm/</w:t>
            </w:r>
            <w:r>
              <w:rPr>
                <w:rFonts w:hint="default" w:ascii="Times New Roman" w:hAnsi="Times New Roman" w:eastAsia="仿宋_GB2312" w:cs="Times New Roman"/>
                <w:color w:val="auto"/>
                <w:sz w:val="21"/>
                <w:szCs w:val="21"/>
                <w:vertAlign w:val="baseline"/>
                <w:lang w:eastAsia="zh-CN"/>
              </w:rPr>
              <w:t>202200401</w:t>
            </w:r>
            <w:r>
              <w:rPr>
                <w:rFonts w:hint="eastAsia" w:ascii="Times New Roman" w:hAnsi="Times New Roman" w:eastAsia="仿宋_GB2312" w:cs="Times New Roman"/>
                <w:color w:val="auto"/>
                <w:sz w:val="21"/>
                <w:szCs w:val="21"/>
                <w:vertAlign w:val="baseline"/>
                <w:lang w:eastAsia="zh-CN"/>
              </w:rPr>
              <w:t>.htm）对应的</w:t>
            </w:r>
            <w:r>
              <w:rPr>
                <w:rFonts w:ascii="Times New Roman" w:hAnsi="Times New Roman" w:eastAsia="仿宋_GB2312" w:cs="Times New Roman"/>
                <w:color w:val="auto"/>
                <w:kern w:val="0"/>
                <w:sz w:val="21"/>
                <w:szCs w:val="21"/>
                <w:lang w:bidi="ar"/>
              </w:rPr>
              <w:t>通知公告</w:t>
            </w:r>
            <w:r>
              <w:rPr>
                <w:rFonts w:hint="eastAsia" w:ascii="Times New Roman" w:hAnsi="Times New Roman" w:eastAsia="仿宋_GB2312" w:cs="Times New Roman"/>
                <w:color w:val="auto"/>
                <w:kern w:val="0"/>
                <w:sz w:val="21"/>
                <w:szCs w:val="21"/>
                <w:lang w:eastAsia="zh-CN" w:bidi="ar"/>
              </w:rPr>
              <w:t>。</w:t>
            </w:r>
          </w:p>
        </w:tc>
      </w:tr>
      <w:tr>
        <w:tblPrEx>
          <w:tblCellMar>
            <w:top w:w="0" w:type="dxa"/>
            <w:left w:w="0" w:type="dxa"/>
            <w:bottom w:w="0" w:type="dxa"/>
            <w:right w:w="0" w:type="dxa"/>
          </w:tblCellMar>
        </w:tblPrEx>
        <w:trPr>
          <w:trHeight w:val="1079"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职业资格名称</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实施部门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具体考务组织部门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报名指引及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网站链接</w:t>
            </w:r>
          </w:p>
        </w:tc>
      </w:tr>
      <w:tr>
        <w:tblPrEx>
          <w:tblCellMar>
            <w:top w:w="0" w:type="dxa"/>
            <w:left w:w="0" w:type="dxa"/>
            <w:bottom w:w="0" w:type="dxa"/>
            <w:right w:w="0" w:type="dxa"/>
          </w:tblCellMar>
        </w:tblPrEx>
        <w:trPr>
          <w:trHeight w:val="1616"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33</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eastAsia="zh-CN"/>
              </w:rPr>
              <w:t>会计专业技术资格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olor w:val="auto"/>
                <w:kern w:val="0"/>
                <w:sz w:val="24"/>
                <w:lang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财政部</w:t>
            </w:r>
          </w:p>
          <w:p>
            <w:pPr>
              <w:keepNext w:val="0"/>
              <w:keepLines w:val="0"/>
              <w:widowControl/>
              <w:suppressLineNumbers w:val="0"/>
              <w:spacing w:line="36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highlight w:val="none"/>
                <w:vertAlign w:val="baseline"/>
                <w:lang w:eastAsia="zh-CN"/>
              </w:rPr>
              <w:t>人力资源社会保障部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初、中级资格考试由各区会计考试管理机构负责；高级资格考试由广州市会计专业技术资格考试办公室负责。</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1"/>
                <w:szCs w:val="21"/>
                <w:vertAlign w:val="baseline"/>
                <w:lang w:eastAsia="zh-CN"/>
              </w:rPr>
              <w:t>详见广州市财政局官网“会计服务-业务指引”栏目</w:t>
            </w:r>
            <w:r>
              <w:rPr>
                <w:rFonts w:hint="eastAsia" w:eastAsia="仿宋_GB2312" w:cs="Times New Roman"/>
                <w:color w:val="auto"/>
                <w:sz w:val="21"/>
                <w:szCs w:val="21"/>
                <w:vertAlign w:val="baseline"/>
                <w:lang w:eastAsia="zh-CN"/>
              </w:rPr>
              <w:t>（</w:t>
            </w:r>
            <w:r>
              <w:rPr>
                <w:rFonts w:hint="eastAsia" w:ascii="Times New Roman" w:hAnsi="Times New Roman" w:eastAsia="仿宋_GB2312" w:cs="Times New Roman"/>
                <w:color w:val="auto"/>
                <w:sz w:val="21"/>
                <w:szCs w:val="21"/>
                <w:vertAlign w:val="baseline"/>
                <w:lang w:eastAsia="zh-CN"/>
              </w:rPr>
              <w:fldChar w:fldCharType="begin"/>
            </w:r>
            <w:r>
              <w:rPr>
                <w:rFonts w:hint="eastAsia" w:ascii="Times New Roman" w:hAnsi="Times New Roman" w:eastAsia="仿宋_GB2312" w:cs="Times New Roman"/>
                <w:color w:val="auto"/>
                <w:sz w:val="21"/>
                <w:szCs w:val="21"/>
                <w:vertAlign w:val="baseline"/>
                <w:lang w:eastAsia="zh-CN"/>
              </w:rPr>
              <w:instrText xml:space="preserve"> HYPERLINK "https://czj.gz.gov" </w:instrText>
            </w:r>
            <w:r>
              <w:rPr>
                <w:rFonts w:hint="eastAsia" w:ascii="Times New Roman" w:hAnsi="Times New Roman" w:eastAsia="仿宋_GB2312" w:cs="Times New Roman"/>
                <w:color w:val="auto"/>
                <w:sz w:val="21"/>
                <w:szCs w:val="21"/>
                <w:vertAlign w:val="baseline"/>
                <w:lang w:eastAsia="zh-CN"/>
              </w:rPr>
              <w:fldChar w:fldCharType="separate"/>
            </w:r>
            <w:r>
              <w:rPr>
                <w:rFonts w:hint="eastAsia" w:ascii="Times New Roman" w:hAnsi="Times New Roman" w:eastAsia="仿宋_GB2312" w:cs="Times New Roman"/>
                <w:color w:val="auto"/>
                <w:sz w:val="21"/>
                <w:szCs w:val="21"/>
                <w:vertAlign w:val="baseline"/>
                <w:lang w:eastAsia="zh-CN"/>
              </w:rPr>
              <w:t>https://czj.gz.gov</w:t>
            </w:r>
            <w:r>
              <w:rPr>
                <w:rFonts w:hint="eastAsia" w:ascii="Times New Roman" w:hAnsi="Times New Roman" w:eastAsia="仿宋_GB2312" w:cs="Times New Roman"/>
                <w:color w:val="auto"/>
                <w:sz w:val="21"/>
                <w:szCs w:val="21"/>
                <w:vertAlign w:val="baseline"/>
                <w:lang w:eastAsia="zh-CN"/>
              </w:rPr>
              <w:fldChar w:fldCharType="end"/>
            </w:r>
            <w:r>
              <w:rPr>
                <w:rFonts w:hint="eastAsia" w:ascii="Times New Roman" w:hAnsi="Times New Roman" w:eastAsia="仿宋_GB2312" w:cs="Times New Roman"/>
                <w:color w:val="auto"/>
                <w:sz w:val="21"/>
                <w:szCs w:val="21"/>
                <w:vertAlign w:val="baseline"/>
                <w:lang w:eastAsia="zh-CN"/>
              </w:rPr>
              <w:t>.cn/hjfw/ywzy/</w:t>
            </w:r>
            <w:r>
              <w:rPr>
                <w:rFonts w:hint="eastAsia" w:eastAsia="仿宋_GB2312" w:cs="Times New Roman"/>
                <w:color w:val="auto"/>
                <w:sz w:val="21"/>
                <w:szCs w:val="21"/>
                <w:vertAlign w:val="baseline"/>
                <w:lang w:eastAsia="zh-CN"/>
              </w:rPr>
              <w:t>）</w:t>
            </w:r>
            <w:r>
              <w:rPr>
                <w:rFonts w:hint="eastAsia" w:ascii="Times New Roman" w:hAnsi="Times New Roman" w:eastAsia="仿宋_GB2312" w:cs="Times New Roman"/>
                <w:color w:val="auto"/>
                <w:sz w:val="21"/>
                <w:szCs w:val="21"/>
                <w:vertAlign w:val="baseline"/>
                <w:lang w:eastAsia="zh-CN"/>
              </w:rPr>
              <w:t>对应的报考指引。</w:t>
            </w:r>
          </w:p>
        </w:tc>
      </w:tr>
      <w:tr>
        <w:tblPrEx>
          <w:tblCellMar>
            <w:top w:w="0" w:type="dxa"/>
            <w:left w:w="0" w:type="dxa"/>
            <w:bottom w:w="0" w:type="dxa"/>
            <w:right w:w="0" w:type="dxa"/>
          </w:tblCellMar>
        </w:tblPrEx>
        <w:trPr>
          <w:trHeight w:val="14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i w:val="0"/>
                <w:color w:val="auto"/>
                <w:kern w:val="0"/>
                <w:sz w:val="24"/>
                <w:szCs w:val="24"/>
                <w:u w:val="none"/>
                <w:lang w:val="en-US" w:eastAsia="zh-CN" w:bidi="ar"/>
              </w:rPr>
              <w:t>34</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资产评估师</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imes New Roman" w:hAnsi="Times New Roman" w:eastAsia="仿宋_GB2312"/>
                <w:color w:val="auto"/>
                <w:kern w:val="0"/>
                <w:sz w:val="24"/>
                <w:lang w:bidi="ar"/>
              </w:rPr>
            </w:pPr>
            <w:r>
              <w:rPr>
                <w:rFonts w:hint="eastAsia" w:ascii="Times New Roman" w:hAnsi="Times New Roman" w:eastAsia="仿宋_GB2312"/>
                <w:color w:val="auto"/>
                <w:kern w:val="0"/>
                <w:sz w:val="24"/>
                <w:lang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imes New Roman" w:hAnsi="Times New Roman" w:eastAsia="仿宋_GB2312"/>
                <w:color w:val="auto"/>
                <w:kern w:val="0"/>
                <w:sz w:val="24"/>
                <w:lang w:bidi="ar"/>
              </w:rPr>
            </w:pPr>
            <w:r>
              <w:rPr>
                <w:rFonts w:hint="eastAsia" w:ascii="Times New Roman" w:hAnsi="Times New Roman" w:eastAsia="仿宋_GB2312"/>
                <w:color w:val="auto"/>
                <w:kern w:val="0"/>
                <w:sz w:val="24"/>
                <w:lang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imes New Roman" w:hAnsi="Times New Roman" w:eastAsia="仿宋_GB2312"/>
                <w:color w:val="auto"/>
                <w:kern w:val="0"/>
                <w:sz w:val="24"/>
                <w:lang w:bidi="ar"/>
              </w:rPr>
            </w:pPr>
            <w:r>
              <w:rPr>
                <w:rFonts w:hint="eastAsia" w:ascii="Times New Roman" w:hAnsi="Times New Roman" w:eastAsia="仿宋_GB2312"/>
                <w:color w:val="auto"/>
                <w:kern w:val="0"/>
                <w:sz w:val="24"/>
                <w:lang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财政部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人力资源社会保障部</w:t>
            </w:r>
          </w:p>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eastAsia="zh-CN"/>
              </w:rPr>
            </w:pPr>
            <w:r>
              <w:rPr>
                <w:rFonts w:hint="eastAsia" w:ascii="Times New Roman" w:hAnsi="Times New Roman" w:eastAsia="仿宋_GB2312" w:cs="Times New Roman"/>
                <w:color w:val="auto"/>
                <w:sz w:val="24"/>
                <w:szCs w:val="24"/>
                <w:highlight w:val="none"/>
                <w:vertAlign w:val="baseline"/>
                <w:lang w:eastAsia="zh-CN"/>
              </w:rPr>
              <w:t>中国资产评估协会</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i w:val="0"/>
                <w:color w:val="auto"/>
                <w:kern w:val="0"/>
                <w:sz w:val="24"/>
                <w:szCs w:val="24"/>
                <w:u w:val="none"/>
                <w:lang w:val="en-US" w:eastAsia="zh-CN" w:bidi="ar"/>
              </w:rPr>
              <w:t>广东省资产评估协会</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 w:hAnsi="仿宋" w:eastAsia="仿宋" w:cs="仿宋"/>
                <w:color w:val="auto"/>
                <w:spacing w:val="6"/>
                <w:sz w:val="23"/>
                <w:szCs w:val="23"/>
              </w:rPr>
            </w:pPr>
            <w:r>
              <w:rPr>
                <w:rFonts w:hint="eastAsia" w:ascii="Times New Roman" w:hAnsi="Times New Roman" w:eastAsia="仿宋_GB2312" w:cs="Times New Roman"/>
                <w:color w:val="auto"/>
                <w:sz w:val="21"/>
                <w:szCs w:val="21"/>
                <w:vertAlign w:val="baseline"/>
                <w:lang w:eastAsia="zh-CN"/>
              </w:rPr>
              <w:t>详见广东省资产评估师协会官网“办事指南</w:t>
            </w:r>
            <w:r>
              <w:rPr>
                <w:rFonts w:hint="eastAsia" w:ascii="Times New Roman" w:hAnsi="Times New Roman" w:eastAsia="仿宋_GB2312" w:cs="Times New Roman"/>
                <w:color w:val="auto"/>
                <w:sz w:val="21"/>
                <w:szCs w:val="21"/>
                <w:vertAlign w:val="baseline"/>
                <w:lang w:val="en-US" w:eastAsia="zh-CN"/>
              </w:rPr>
              <w:t>-考试事务”栏目</w:t>
            </w:r>
            <w:r>
              <w:rPr>
                <w:rFonts w:hint="eastAsia" w:ascii="Times New Roman" w:hAnsi="Times New Roman" w:eastAsia="仿宋_GB2312" w:cs="Times New Roman"/>
                <w:color w:val="auto"/>
                <w:sz w:val="21"/>
                <w:szCs w:val="21"/>
                <w:vertAlign w:val="baseline"/>
                <w:lang w:eastAsia="zh-CN"/>
              </w:rPr>
              <w:t>（http://www.gdzcpg.cn/kssw）对应的</w:t>
            </w:r>
            <w:r>
              <w:rPr>
                <w:rFonts w:ascii="Times New Roman" w:hAnsi="Times New Roman" w:eastAsia="仿宋_GB2312" w:cs="Times New Roman"/>
                <w:color w:val="auto"/>
                <w:kern w:val="0"/>
                <w:sz w:val="21"/>
                <w:szCs w:val="21"/>
                <w:lang w:bidi="ar"/>
              </w:rPr>
              <w:t>通知公告</w:t>
            </w:r>
            <w:r>
              <w:rPr>
                <w:rFonts w:hint="eastAsia" w:ascii="Times New Roman" w:hAnsi="Times New Roman" w:eastAsia="仿宋_GB2312" w:cs="Times New Roman"/>
                <w:color w:val="auto"/>
                <w:kern w:val="0"/>
                <w:sz w:val="21"/>
                <w:szCs w:val="21"/>
                <w:lang w:eastAsia="zh-CN" w:bidi="ar"/>
              </w:rPr>
              <w:t>。</w:t>
            </w:r>
          </w:p>
        </w:tc>
      </w:tr>
      <w:tr>
        <w:tblPrEx>
          <w:tblCellMar>
            <w:top w:w="0" w:type="dxa"/>
            <w:left w:w="0" w:type="dxa"/>
            <w:bottom w:w="0" w:type="dxa"/>
            <w:right w:w="0" w:type="dxa"/>
          </w:tblCellMar>
        </w:tblPrEx>
        <w:trPr>
          <w:trHeight w:val="130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35</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eastAsia="zh-CN"/>
              </w:rPr>
              <w:t>执业兽医</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ascii="Times New Roman" w:hAnsi="Times New Roman" w:eastAsia="仿宋_GB2312" w:cstheme="minorBidi"/>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ascii="Times New Roman" w:hAnsi="Times New Roman" w:eastAsia="仿宋_GB2312" w:cstheme="minorBidi"/>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ascii="Times New Roman" w:hAnsi="Times New Roman" w:eastAsia="仿宋_GB2312" w:cstheme="minorBidi"/>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eastAsia="仿宋_GB2312" w:cs="Times New Roman"/>
                <w:i w:val="0"/>
                <w:color w:val="auto"/>
                <w:kern w:val="0"/>
                <w:sz w:val="24"/>
                <w:szCs w:val="24"/>
                <w:u w:val="none"/>
                <w:lang w:val="en-US" w:eastAsia="zh-CN" w:bidi="ar"/>
              </w:rPr>
              <w:t>是</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eastAsia"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农业农村部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ascii="Times New Roman" w:hAnsi="Times New Roman" w:eastAsia="仿宋_GB2312" w:cstheme="minorBidi"/>
                <w:i w:val="0"/>
                <w:color w:val="auto"/>
                <w:kern w:val="0"/>
                <w:sz w:val="24"/>
                <w:szCs w:val="24"/>
                <w:u w:val="none"/>
                <w:lang w:val="en-US" w:eastAsia="zh-CN" w:bidi="ar"/>
              </w:rPr>
              <w:t>广东省农业农村厅</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imes New Roman" w:hAnsi="Times New Roman" w:eastAsia="仿宋_GB2312" w:cstheme="minorBidi"/>
                <w:i w:val="0"/>
                <w:color w:val="auto"/>
                <w:kern w:val="0"/>
                <w:sz w:val="24"/>
                <w:szCs w:val="24"/>
                <w:u w:val="none"/>
                <w:lang w:val="en-US" w:eastAsia="zh-CN" w:bidi="ar"/>
              </w:rPr>
            </w:pPr>
            <w:r>
              <w:rPr>
                <w:rFonts w:hint="eastAsia" w:ascii="Times New Roman" w:hAnsi="Times New Roman" w:eastAsia="仿宋_GB2312" w:cstheme="minorBidi"/>
                <w:i w:val="0"/>
                <w:caps w:val="0"/>
                <w:color w:val="auto"/>
                <w:spacing w:val="0"/>
                <w:kern w:val="0"/>
                <w:sz w:val="21"/>
                <w:szCs w:val="21"/>
                <w:shd w:val="clear"/>
                <w:lang w:val="en-US" w:eastAsia="zh-CN" w:bidi="ar"/>
              </w:rPr>
              <w:t>详</w:t>
            </w:r>
            <w:r>
              <w:rPr>
                <w:rFonts w:hint="eastAsia" w:ascii="Times New Roman" w:hAnsi="Times New Roman" w:eastAsia="仿宋_GB2312" w:cs="Times New Roman"/>
                <w:color w:val="auto"/>
                <w:sz w:val="21"/>
                <w:szCs w:val="21"/>
                <w:vertAlign w:val="baseline"/>
                <w:lang w:val="en-US" w:eastAsia="zh-CN"/>
              </w:rPr>
              <w:t>见中国兽医网（https://www.cadc.net.cn）“执业兽医专栏-全国执业兽医资格考试”栏目</w:t>
            </w:r>
            <w:r>
              <w:rPr>
                <w:rFonts w:hint="eastAsia" w:ascii="Times New Roman" w:hAnsi="Times New Roman" w:eastAsia="仿宋_GB2312" w:cs="Times New Roman"/>
                <w:color w:val="auto"/>
                <w:sz w:val="21"/>
                <w:szCs w:val="21"/>
                <w:vertAlign w:val="baseline"/>
                <w:lang w:eastAsia="zh-CN"/>
              </w:rPr>
              <w:t>对应的通知公告。</w:t>
            </w:r>
          </w:p>
        </w:tc>
      </w:tr>
      <w:tr>
        <w:tblPrEx>
          <w:tblCellMar>
            <w:top w:w="0" w:type="dxa"/>
            <w:left w:w="0" w:type="dxa"/>
            <w:bottom w:w="0" w:type="dxa"/>
            <w:right w:w="0" w:type="dxa"/>
          </w:tblCellMar>
        </w:tblPrEx>
        <w:trPr>
          <w:trHeight w:val="1636"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36</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演出经纪人员资格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w:t>
            </w:r>
          </w:p>
        </w:tc>
        <w:tc>
          <w:tcPr>
            <w:tcW w:w="2201" w:type="dxa"/>
            <w:vMerge w:val="restart"/>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eastAsia" w:ascii="Times New Roman" w:hAnsi="Times New Roman" w:eastAsia="仿宋_GB2312" w:cs="Times New Roman"/>
                <w:color w:val="auto"/>
                <w:sz w:val="24"/>
                <w:szCs w:val="24"/>
                <w:highlight w:val="none"/>
                <w:vertAlign w:val="baseline"/>
                <w:lang w:eastAsia="zh-CN"/>
              </w:rPr>
              <w:t>文化和旅游部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ascii="仿宋_GB2312" w:hAnsi="宋体" w:eastAsia="仿宋_GB2312" w:cs="仿宋_GB2312"/>
                <w:i w:val="0"/>
                <w:caps w:val="0"/>
                <w:color w:val="auto"/>
                <w:spacing w:val="0"/>
                <w:kern w:val="0"/>
                <w:sz w:val="24"/>
                <w:szCs w:val="24"/>
                <w:shd w:val="clear" w:fill="FFFFFF"/>
                <w:lang w:val="en-US" w:eastAsia="zh-CN" w:bidi="ar"/>
              </w:rPr>
              <w:t>文化和旅游部</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heme="minorBidi"/>
                <w:i w:val="0"/>
                <w:caps w:val="0"/>
                <w:color w:val="auto"/>
                <w:spacing w:val="0"/>
                <w:kern w:val="0"/>
                <w:sz w:val="21"/>
                <w:szCs w:val="21"/>
                <w:shd w:val="clear"/>
                <w:lang w:val="en-US" w:eastAsia="zh-CN" w:bidi="ar"/>
              </w:rPr>
              <w:t>详见全国文化市场技术监管与服务平台（https://ccm.mct.gov.cn/）</w: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begin"/>
            </w:r>
            <w:r>
              <w:rPr>
                <w:rFonts w:hint="eastAsia" w:ascii="Times New Roman" w:hAnsi="Times New Roman" w:eastAsia="仿宋_GB2312" w:cstheme="minorBidi"/>
                <w:i w:val="0"/>
                <w:caps w:val="0"/>
                <w:color w:val="auto"/>
                <w:spacing w:val="0"/>
                <w:kern w:val="0"/>
                <w:sz w:val="21"/>
                <w:szCs w:val="21"/>
                <w:shd w:val="clear"/>
                <w:lang w:val="en-US" w:eastAsia="zh-CN" w:bidi="ar"/>
              </w:rPr>
              <w:instrText xml:space="preserve"> HYPERLINK "http://mct.ata-test.net/" \t "https://ccm.mct.gov.cn/ccnt/hbase/_blank" </w:instrTex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separate"/>
            </w:r>
            <w:r>
              <w:rPr>
                <w:rFonts w:hint="eastAsia" w:ascii="Times New Roman" w:hAnsi="Times New Roman" w:eastAsia="仿宋_GB2312" w:cstheme="minorBidi"/>
                <w:i w:val="0"/>
                <w:caps w:val="0"/>
                <w:color w:val="auto"/>
                <w:spacing w:val="0"/>
                <w:kern w:val="0"/>
                <w:sz w:val="21"/>
                <w:szCs w:val="21"/>
                <w:shd w:val="clear"/>
                <w:lang w:val="en-US" w:eastAsia="zh-CN" w:bidi="ar"/>
              </w:rPr>
              <w:t>“全国演出经纪人员资格</w:t>
            </w:r>
            <w:r>
              <w:rPr>
                <w:rFonts w:hint="eastAsia" w:eastAsia="仿宋_GB2312" w:cstheme="minorBidi"/>
                <w:i w:val="0"/>
                <w:caps w:val="0"/>
                <w:color w:val="auto"/>
                <w:spacing w:val="0"/>
                <w:kern w:val="0"/>
                <w:sz w:val="21"/>
                <w:szCs w:val="21"/>
                <w:shd w:val="clear"/>
                <w:lang w:val="en-US" w:eastAsia="zh-CN" w:bidi="ar"/>
              </w:rPr>
              <w:t>认定</w:t>
            </w:r>
            <w:r>
              <w:rPr>
                <w:rFonts w:hint="eastAsia" w:ascii="Times New Roman" w:hAnsi="Times New Roman" w:eastAsia="仿宋_GB2312" w:cstheme="minorBidi"/>
                <w:i w:val="0"/>
                <w:caps w:val="0"/>
                <w:color w:val="auto"/>
                <w:spacing w:val="0"/>
                <w:kern w:val="0"/>
                <w:sz w:val="21"/>
                <w:szCs w:val="21"/>
                <w:shd w:val="clear"/>
                <w:lang w:val="en-US" w:eastAsia="zh-CN" w:bidi="ar"/>
              </w:rPr>
              <w:t>考试报名入口”栏目对应的考试公告。</w: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end"/>
            </w:r>
          </w:p>
        </w:tc>
      </w:tr>
      <w:tr>
        <w:tblPrEx>
          <w:shd w:val="clear" w:color="auto" w:fill="auto"/>
          <w:tblCellMar>
            <w:top w:w="0" w:type="dxa"/>
            <w:left w:w="0" w:type="dxa"/>
            <w:bottom w:w="0" w:type="dxa"/>
            <w:right w:w="0" w:type="dxa"/>
          </w:tblCellMar>
        </w:tblPrEx>
        <w:trPr>
          <w:trHeight w:val="1217"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37</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导游资格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w:t>
            </w:r>
          </w:p>
        </w:tc>
        <w:tc>
          <w:tcPr>
            <w:tcW w:w="2201" w:type="dxa"/>
            <w:vMerge w:val="continue"/>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ascii="仿宋_GB2312" w:hAnsi="宋体" w:eastAsia="仿宋_GB2312" w:cs="仿宋_GB2312"/>
                <w:i w:val="0"/>
                <w:caps w:val="0"/>
                <w:color w:val="auto"/>
                <w:spacing w:val="0"/>
                <w:kern w:val="0"/>
                <w:sz w:val="24"/>
                <w:szCs w:val="24"/>
                <w:shd w:val="clear" w:fill="FFFFFF"/>
                <w:lang w:val="en-US" w:eastAsia="zh-CN" w:bidi="ar"/>
              </w:rPr>
              <w:t>文化和旅游部</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heme="minorBidi"/>
                <w:i w:val="0"/>
                <w:caps w:val="0"/>
                <w:color w:val="auto"/>
                <w:spacing w:val="0"/>
                <w:kern w:val="0"/>
                <w:sz w:val="21"/>
                <w:szCs w:val="21"/>
                <w:shd w:val="clear"/>
                <w:lang w:val="en-US" w:eastAsia="zh-CN" w:bidi="ar"/>
              </w:rPr>
              <w:t>详见全国旅游监管服务平台（</w:t>
            </w:r>
            <w:r>
              <w:rPr>
                <w:rFonts w:hint="default" w:ascii="Times New Roman" w:hAnsi="Times New Roman" w:eastAsia="仿宋_GB2312" w:cs="Times New Roman"/>
                <w:color w:val="auto"/>
                <w:sz w:val="21"/>
                <w:szCs w:val="21"/>
                <w:vertAlign w:val="baseline"/>
                <w:lang w:val="en-US" w:eastAsia="zh-CN"/>
              </w:rPr>
              <w:t>https://mr.mct.gov.cn</w:t>
            </w:r>
            <w:r>
              <w:rPr>
                <w:rFonts w:hint="eastAsia" w:ascii="Times New Roman" w:hAnsi="Times New Roman" w:eastAsia="仿宋_GB2312" w:cstheme="minorBidi"/>
                <w:i w:val="0"/>
                <w:caps w:val="0"/>
                <w:color w:val="auto"/>
                <w:spacing w:val="0"/>
                <w:kern w:val="0"/>
                <w:sz w:val="21"/>
                <w:szCs w:val="21"/>
                <w:shd w:val="clear"/>
                <w:lang w:val="en-US" w:eastAsia="zh-CN" w:bidi="ar"/>
              </w:rPr>
              <w:t>）</w: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begin"/>
            </w:r>
            <w:r>
              <w:rPr>
                <w:rFonts w:hint="eastAsia" w:ascii="Times New Roman" w:hAnsi="Times New Roman" w:eastAsia="仿宋_GB2312" w:cstheme="minorBidi"/>
                <w:i w:val="0"/>
                <w:caps w:val="0"/>
                <w:color w:val="auto"/>
                <w:spacing w:val="0"/>
                <w:kern w:val="0"/>
                <w:sz w:val="21"/>
                <w:szCs w:val="21"/>
                <w:shd w:val="clear"/>
                <w:lang w:val="en-US" w:eastAsia="zh-CN" w:bidi="ar"/>
              </w:rPr>
              <w:instrText xml:space="preserve"> HYPERLINK "http://mct.ata-test.net/" \t "https://ccm.mct.gov.cn/ccnt/hbase/_blank" </w:instrTex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separate"/>
            </w:r>
            <w:r>
              <w:rPr>
                <w:rFonts w:hint="eastAsia" w:ascii="Times New Roman" w:hAnsi="Times New Roman" w:eastAsia="仿宋_GB2312" w:cstheme="minorBidi"/>
                <w:i w:val="0"/>
                <w:caps w:val="0"/>
                <w:color w:val="auto"/>
                <w:spacing w:val="0"/>
                <w:kern w:val="0"/>
                <w:sz w:val="21"/>
                <w:szCs w:val="21"/>
                <w:shd w:val="clear"/>
                <w:lang w:val="en-US" w:eastAsia="zh-CN" w:bidi="ar"/>
              </w:rPr>
              <w:t>“全国导游资格考试报名入口”栏目对应的考试公告。</w:t>
            </w:r>
            <w:r>
              <w:rPr>
                <w:rFonts w:hint="eastAsia" w:ascii="Times New Roman" w:hAnsi="Times New Roman" w:eastAsia="仿宋_GB2312" w:cstheme="minorBidi"/>
                <w:i w:val="0"/>
                <w:caps w:val="0"/>
                <w:color w:val="auto"/>
                <w:spacing w:val="0"/>
                <w:kern w:val="0"/>
                <w:sz w:val="21"/>
                <w:szCs w:val="21"/>
                <w:shd w:val="clear"/>
                <w:lang w:val="en-US" w:eastAsia="zh-CN" w:bidi="ar"/>
              </w:rPr>
              <w:fldChar w:fldCharType="end"/>
            </w:r>
          </w:p>
        </w:tc>
      </w:tr>
      <w:tr>
        <w:tblPrEx>
          <w:tblCellMar>
            <w:top w:w="0" w:type="dxa"/>
            <w:left w:w="0" w:type="dxa"/>
            <w:bottom w:w="0" w:type="dxa"/>
            <w:right w:w="0" w:type="dxa"/>
          </w:tblCellMar>
        </w:tblPrEx>
        <w:trPr>
          <w:trHeight w:val="4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color w:val="auto"/>
                <w:sz w:val="24"/>
                <w:szCs w:val="24"/>
                <w:vertAlign w:val="baseline"/>
                <w:lang w:val="en-US" w:eastAsia="zh-CN"/>
              </w:rPr>
            </w:pPr>
            <w:r>
              <w:rPr>
                <w:rFonts w:hint="eastAsia" w:ascii="黑体" w:hAnsi="黑体" w:eastAsia="黑体" w:cs="黑体"/>
                <w:b w:val="0"/>
                <w:bCs/>
                <w:i w:val="0"/>
                <w:color w:val="auto"/>
                <w:kern w:val="0"/>
                <w:sz w:val="24"/>
                <w:szCs w:val="24"/>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color w:val="auto"/>
                <w:sz w:val="24"/>
                <w:szCs w:val="24"/>
                <w:vertAlign w:val="baseline"/>
                <w:lang w:eastAsia="zh-CN"/>
              </w:rPr>
            </w:pPr>
            <w:r>
              <w:rPr>
                <w:rFonts w:hint="eastAsia" w:ascii="黑体" w:hAnsi="黑体" w:eastAsia="黑体" w:cs="黑体"/>
                <w:b w:val="0"/>
                <w:bCs/>
                <w:i w:val="0"/>
                <w:color w:val="auto"/>
                <w:kern w:val="0"/>
                <w:sz w:val="24"/>
                <w:szCs w:val="24"/>
                <w:u w:val="none"/>
                <w:lang w:val="en-US" w:eastAsia="zh-CN" w:bidi="ar"/>
              </w:rPr>
              <w:t>职业资格名称</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香港居民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澳门居民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台湾居民</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是否允许</w:t>
            </w:r>
            <w:r>
              <w:rPr>
                <w:rFonts w:hint="eastAsia" w:ascii="黑体" w:hAnsi="黑体" w:eastAsia="黑体" w:cs="黑体"/>
                <w:b w:val="0"/>
                <w:bCs/>
                <w:i w:val="0"/>
                <w:color w:val="auto"/>
                <w:kern w:val="0"/>
                <w:sz w:val="24"/>
                <w:szCs w:val="24"/>
                <w:u w:val="none"/>
                <w:lang w:val="en-US" w:eastAsia="zh-CN" w:bidi="ar"/>
              </w:rPr>
              <w:br w:type="textWrapping"/>
            </w:r>
            <w:r>
              <w:rPr>
                <w:rFonts w:hint="eastAsia" w:ascii="黑体" w:hAnsi="黑体" w:eastAsia="黑体" w:cs="黑体"/>
                <w:b w:val="0"/>
                <w:bCs/>
                <w:i w:val="0"/>
                <w:color w:val="auto"/>
                <w:kern w:val="0"/>
                <w:sz w:val="24"/>
                <w:szCs w:val="24"/>
                <w:u w:val="none"/>
                <w:lang w:val="en-US" w:eastAsia="zh-CN" w:bidi="ar"/>
              </w:rPr>
              <w:t>外籍人员</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报考</w:t>
            </w:r>
          </w:p>
        </w:tc>
        <w:tc>
          <w:tcPr>
            <w:tcW w:w="2201"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实施部门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具体考务组织部门</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aps w:val="0"/>
                <w:color w:val="auto"/>
                <w:spacing w:val="0"/>
                <w:kern w:val="0"/>
                <w:sz w:val="24"/>
                <w:szCs w:val="24"/>
                <w:shd w:val="clear" w:fill="FFFFFF"/>
                <w:lang w:val="en-US" w:eastAsia="zh-CN" w:bidi="ar"/>
              </w:rPr>
            </w:pPr>
            <w:r>
              <w:rPr>
                <w:rFonts w:hint="eastAsia" w:ascii="黑体" w:hAnsi="黑体" w:eastAsia="黑体" w:cs="黑体"/>
                <w:b w:val="0"/>
                <w:bCs/>
                <w:i w:val="0"/>
                <w:color w:val="auto"/>
                <w:kern w:val="0"/>
                <w:sz w:val="24"/>
                <w:szCs w:val="24"/>
                <w:u w:val="none"/>
                <w:lang w:val="en-US" w:eastAsia="zh-CN" w:bidi="ar"/>
              </w:rPr>
              <w:t>（单位）</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 w:val="0"/>
                <w:bCs/>
                <w:i w:val="0"/>
                <w:color w:val="auto"/>
                <w:kern w:val="0"/>
                <w:sz w:val="24"/>
                <w:szCs w:val="24"/>
                <w:u w:val="none"/>
                <w:lang w:val="en-US" w:eastAsia="zh-CN" w:bidi="ar"/>
              </w:rPr>
            </w:pPr>
            <w:r>
              <w:rPr>
                <w:rFonts w:hint="eastAsia" w:ascii="黑体" w:hAnsi="黑体" w:eastAsia="黑体" w:cs="黑体"/>
                <w:b w:val="0"/>
                <w:bCs/>
                <w:i w:val="0"/>
                <w:color w:val="auto"/>
                <w:kern w:val="0"/>
                <w:sz w:val="24"/>
                <w:szCs w:val="24"/>
                <w:u w:val="none"/>
                <w:lang w:val="en-US" w:eastAsia="zh-CN" w:bidi="ar"/>
              </w:rPr>
              <w:t>报名指引及</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bCs/>
                <w:i w:val="0"/>
                <w:caps w:val="0"/>
                <w:color w:val="auto"/>
                <w:spacing w:val="0"/>
                <w:kern w:val="0"/>
                <w:sz w:val="21"/>
                <w:szCs w:val="21"/>
                <w:shd w:val="clear"/>
                <w:lang w:val="en-US" w:eastAsia="zh-CN" w:bidi="ar"/>
              </w:rPr>
            </w:pPr>
            <w:r>
              <w:rPr>
                <w:rFonts w:hint="eastAsia" w:ascii="黑体" w:hAnsi="黑体" w:eastAsia="黑体" w:cs="黑体"/>
                <w:b w:val="0"/>
                <w:bCs/>
                <w:i w:val="0"/>
                <w:color w:val="auto"/>
                <w:kern w:val="0"/>
                <w:sz w:val="24"/>
                <w:szCs w:val="24"/>
                <w:u w:val="none"/>
                <w:lang w:val="en-US" w:eastAsia="zh-CN" w:bidi="ar"/>
              </w:rPr>
              <w:t>网站链接</w:t>
            </w:r>
          </w:p>
        </w:tc>
      </w:tr>
      <w:tr>
        <w:tblPrEx>
          <w:shd w:val="clear" w:color="auto" w:fill="auto"/>
          <w:tblCellMar>
            <w:top w:w="0" w:type="dxa"/>
            <w:left w:w="0" w:type="dxa"/>
            <w:bottom w:w="0" w:type="dxa"/>
            <w:right w:w="0" w:type="dxa"/>
          </w:tblCellMar>
        </w:tblPrEx>
        <w:trPr>
          <w:trHeight w:val="4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i w:val="0"/>
                <w:color w:val="auto"/>
                <w:kern w:val="0"/>
                <w:sz w:val="24"/>
                <w:szCs w:val="24"/>
                <w:u w:val="none"/>
                <w:lang w:val="en-US" w:eastAsia="zh-CN" w:bidi="ar"/>
              </w:rPr>
              <w:t>38</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专利代理师</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shd w:val="clear" w:color="auto" w:fill="auto"/>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480" w:firstLineChars="200"/>
              <w:jc w:val="both"/>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shd w:val="clear" w:color="auto" w:fill="auto"/>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shd w:val="clear" w:color="auto" w:fill="auto"/>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exact"/>
              <w:ind w:left="0" w:right="0" w:firstLine="0"/>
              <w:jc w:val="left"/>
              <w:textAlignment w:val="auto"/>
              <w:rPr>
                <w:rFonts w:hint="default" w:ascii="Times New Roman" w:hAnsi="Times New Roman" w:eastAsia="仿宋_GB2312" w:cs="Times New Roman"/>
                <w:i w:val="0"/>
                <w:color w:val="auto"/>
                <w:kern w:val="0"/>
                <w:sz w:val="21"/>
                <w:szCs w:val="21"/>
                <w:u w:val="none"/>
                <w:lang w:val="en-US" w:eastAsia="zh-CN" w:bidi="ar"/>
              </w:rPr>
            </w:pPr>
            <w:r>
              <w:rPr>
                <w:rFonts w:hint="eastAsia" w:ascii="仿宋_GB2312" w:hAnsi="仿宋_GB2312" w:eastAsia="仿宋_GB2312" w:cs="仿宋_GB2312"/>
                <w:b w:val="0"/>
                <w:i w:val="0"/>
                <w:color w:val="auto"/>
                <w:kern w:val="0"/>
                <w:sz w:val="21"/>
                <w:szCs w:val="21"/>
                <w:u w:val="none"/>
                <w:lang w:val="en-US" w:eastAsia="zh-CN" w:bidi="ar"/>
              </w:rPr>
              <w:t>允许符合条件的外国人参加</w:t>
            </w:r>
            <w:r>
              <w:rPr>
                <w:rFonts w:hint="eastAsia" w:ascii="仿宋_GB2312" w:hAnsi="仿宋_GB2312" w:eastAsia="仿宋_GB2312" w:cs="仿宋_GB2312"/>
                <w:b w:val="0"/>
                <w:i w:val="0"/>
                <w:color w:val="auto"/>
                <w:kern w:val="0"/>
                <w:sz w:val="21"/>
                <w:szCs w:val="21"/>
                <w:u w:val="none"/>
                <w:vertAlign w:val="superscript"/>
                <w:lang w:val="en-US" w:eastAsia="zh-CN" w:bidi="ar"/>
              </w:rPr>
              <w:fldChar w:fldCharType="begin"/>
            </w:r>
            <w:r>
              <w:rPr>
                <w:rFonts w:hint="eastAsia" w:ascii="仿宋_GB2312" w:hAnsi="仿宋_GB2312" w:eastAsia="仿宋_GB2312" w:cs="仿宋_GB2312"/>
                <w:b w:val="0"/>
                <w:i w:val="0"/>
                <w:color w:val="auto"/>
                <w:kern w:val="0"/>
                <w:sz w:val="21"/>
                <w:szCs w:val="21"/>
                <w:u w:val="none"/>
                <w:vertAlign w:val="superscript"/>
                <w:lang w:val="en-US" w:eastAsia="zh-CN" w:bidi="ar"/>
              </w:rPr>
              <w:instrText xml:space="preserve"> REF _Ref15285 \r \h </w:instrText>
            </w:r>
            <w:r>
              <w:rPr>
                <w:rFonts w:hint="eastAsia" w:ascii="仿宋_GB2312" w:hAnsi="仿宋_GB2312" w:eastAsia="仿宋_GB2312" w:cs="仿宋_GB2312"/>
                <w:b w:val="0"/>
                <w:i w:val="0"/>
                <w:color w:val="auto"/>
                <w:kern w:val="0"/>
                <w:sz w:val="21"/>
                <w:szCs w:val="21"/>
                <w:u w:val="none"/>
                <w:vertAlign w:val="superscript"/>
                <w:lang w:val="en-US" w:eastAsia="zh-CN" w:bidi="ar"/>
              </w:rPr>
              <w:fldChar w:fldCharType="separate"/>
            </w:r>
            <w:r>
              <w:rPr>
                <w:rFonts w:hint="eastAsia" w:ascii="仿宋_GB2312" w:hAnsi="仿宋_GB2312" w:eastAsia="仿宋_GB2312" w:cs="仿宋_GB2312"/>
                <w:b w:val="0"/>
                <w:i w:val="0"/>
                <w:color w:val="auto"/>
                <w:kern w:val="0"/>
                <w:sz w:val="21"/>
                <w:szCs w:val="21"/>
                <w:u w:val="none"/>
                <w:vertAlign w:val="superscript"/>
                <w:lang w:val="en-US" w:eastAsia="zh-CN" w:bidi="ar"/>
              </w:rPr>
              <w:t>[</w:t>
            </w:r>
            <w:r>
              <w:rPr>
                <w:rFonts w:hint="default" w:ascii="Times New Roman" w:hAnsi="Times New Roman" w:eastAsia="仿宋_GB2312" w:cs="Times New Roman"/>
                <w:b w:val="0"/>
                <w:i w:val="0"/>
                <w:color w:val="auto"/>
                <w:kern w:val="0"/>
                <w:sz w:val="21"/>
                <w:szCs w:val="21"/>
                <w:u w:val="none"/>
                <w:vertAlign w:val="superscript"/>
                <w:lang w:val="en-US" w:eastAsia="zh-CN" w:bidi="ar"/>
              </w:rPr>
              <w:t>2</w:t>
            </w:r>
            <w:r>
              <w:rPr>
                <w:rFonts w:hint="eastAsia" w:ascii="仿宋_GB2312" w:hAnsi="仿宋_GB2312" w:eastAsia="仿宋_GB2312" w:cs="仿宋_GB2312"/>
                <w:b w:val="0"/>
                <w:i w:val="0"/>
                <w:color w:val="auto"/>
                <w:kern w:val="0"/>
                <w:sz w:val="21"/>
                <w:szCs w:val="21"/>
                <w:u w:val="none"/>
                <w:vertAlign w:val="superscript"/>
                <w:lang w:val="en-US" w:eastAsia="zh-CN" w:bidi="ar"/>
              </w:rPr>
              <w:t>]</w:t>
            </w:r>
            <w:r>
              <w:rPr>
                <w:rFonts w:hint="eastAsia" w:ascii="仿宋_GB2312" w:hAnsi="仿宋_GB2312" w:eastAsia="仿宋_GB2312" w:cs="仿宋_GB2312"/>
                <w:b w:val="0"/>
                <w:i w:val="0"/>
                <w:color w:val="auto"/>
                <w:kern w:val="0"/>
                <w:sz w:val="21"/>
                <w:szCs w:val="21"/>
                <w:u w:val="none"/>
                <w:vertAlign w:val="superscript"/>
                <w:lang w:val="en-US" w:eastAsia="zh-CN" w:bidi="ar"/>
              </w:rPr>
              <w:fldChar w:fldCharType="end"/>
            </w:r>
          </w:p>
        </w:tc>
        <w:tc>
          <w:tcPr>
            <w:tcW w:w="2201" w:type="dxa"/>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vertAlign w:val="baseline"/>
                <w:lang w:eastAsia="zh-CN"/>
              </w:rPr>
              <w:t>国家知识产权局</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shd w:val="clear" w:color="auto" w:fill="auto"/>
                <w:lang w:val="en-US" w:eastAsia="zh-CN" w:bidi="ar"/>
              </w:rPr>
              <w:t>广东省知识产权局</w:t>
            </w:r>
          </w:p>
        </w:tc>
        <w:tc>
          <w:tcPr>
            <w:tcW w:w="27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20" w:lineRule="exact"/>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1"/>
                <w:szCs w:val="21"/>
                <w:u w:val="none"/>
                <w:shd w:val="clear" w:color="auto" w:fill="auto"/>
                <w:lang w:val="en-US" w:eastAsia="zh-CN" w:bidi="ar"/>
              </w:rPr>
              <w:t>详见国家知识产权</w:t>
            </w:r>
            <w:r>
              <w:rPr>
                <w:rFonts w:hint="eastAsia" w:eastAsia="仿宋_GB2312" w:cs="Times New Roman"/>
                <w:i w:val="0"/>
                <w:color w:val="auto"/>
                <w:kern w:val="0"/>
                <w:sz w:val="21"/>
                <w:szCs w:val="21"/>
                <w:u w:val="none"/>
                <w:shd w:val="clear" w:color="auto" w:fill="auto"/>
                <w:lang w:val="en-US" w:eastAsia="zh-CN" w:bidi="ar"/>
              </w:rPr>
              <w:t>公共服务平台</w:t>
            </w:r>
            <w:r>
              <w:rPr>
                <w:rFonts w:hint="eastAsia" w:ascii="Times New Roman" w:hAnsi="Times New Roman" w:eastAsia="仿宋_GB2312" w:cs="Times New Roman"/>
                <w:i w:val="0"/>
                <w:color w:val="auto"/>
                <w:kern w:val="0"/>
                <w:sz w:val="21"/>
                <w:szCs w:val="21"/>
                <w:u w:val="none"/>
                <w:shd w:val="clear" w:color="auto" w:fill="auto"/>
                <w:lang w:val="en-US" w:eastAsia="zh-CN" w:bidi="ar"/>
              </w:rPr>
              <w:t>（https://ggfw-dlsks.cnipa.gov.cn/）</w:t>
            </w:r>
            <w:r>
              <w:rPr>
                <w:rFonts w:ascii="Times New Roman" w:hAnsi="Times New Roman" w:eastAsia="仿宋_GB2312" w:cs="Times New Roman"/>
                <w:color w:val="auto"/>
                <w:kern w:val="0"/>
                <w:sz w:val="21"/>
                <w:szCs w:val="21"/>
                <w:lang w:bidi="ar"/>
              </w:rPr>
              <w:t>对应的</w:t>
            </w:r>
            <w:r>
              <w:rPr>
                <w:rFonts w:hint="eastAsia" w:eastAsia="仿宋_GB2312" w:cs="Times New Roman"/>
                <w:i w:val="0"/>
                <w:color w:val="auto"/>
                <w:kern w:val="0"/>
                <w:sz w:val="21"/>
                <w:szCs w:val="21"/>
                <w:u w:val="none"/>
                <w:shd w:val="clear" w:color="auto" w:fill="auto"/>
                <w:lang w:val="en-US" w:eastAsia="zh-CN" w:bidi="ar"/>
              </w:rPr>
              <w:t>考试公告</w:t>
            </w:r>
            <w:r>
              <w:rPr>
                <w:rFonts w:hint="eastAsia" w:ascii="Times New Roman" w:hAnsi="Times New Roman" w:eastAsia="仿宋_GB2312" w:cs="Times New Roman"/>
                <w:color w:val="auto"/>
                <w:kern w:val="0"/>
                <w:sz w:val="21"/>
                <w:szCs w:val="21"/>
                <w:lang w:eastAsia="zh-CN" w:bidi="ar"/>
              </w:rPr>
              <w:t>。</w:t>
            </w:r>
          </w:p>
        </w:tc>
      </w:tr>
      <w:tr>
        <w:tblPrEx>
          <w:shd w:val="clear" w:color="auto" w:fill="auto"/>
          <w:tblCellMar>
            <w:top w:w="0" w:type="dxa"/>
            <w:left w:w="0" w:type="dxa"/>
            <w:bottom w:w="0" w:type="dxa"/>
            <w:right w:w="0" w:type="dxa"/>
          </w:tblCellMar>
        </w:tblPrEx>
        <w:trPr>
          <w:trHeight w:val="80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val="en-US" w:eastAsia="zh-CN"/>
              </w:rPr>
              <w:t>39</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b w:val="0"/>
                <w:i w:val="0"/>
                <w:color w:val="auto"/>
                <w:kern w:val="0"/>
                <w:sz w:val="21"/>
                <w:szCs w:val="21"/>
                <w:u w:val="none"/>
                <w:lang w:val="en-US" w:eastAsia="zh-CN" w:bidi="ar"/>
              </w:rPr>
              <w:t>医生资格（</w:t>
            </w:r>
            <w:r>
              <w:rPr>
                <w:rFonts w:hint="eastAsia" w:eastAsia="仿宋_GB2312" w:cs="Times New Roman"/>
                <w:b w:val="0"/>
                <w:i w:val="0"/>
                <w:color w:val="auto"/>
                <w:kern w:val="0"/>
                <w:sz w:val="21"/>
                <w:szCs w:val="21"/>
                <w:u w:val="none"/>
                <w:lang w:val="en-US" w:eastAsia="zh-CN" w:bidi="ar"/>
              </w:rPr>
              <w:t>医师</w:t>
            </w:r>
            <w:r>
              <w:rPr>
                <w:rFonts w:hint="eastAsia" w:ascii="Times New Roman" w:hAnsi="Times New Roman" w:eastAsia="仿宋_GB2312" w:cs="Times New Roman"/>
                <w:b w:val="0"/>
                <w:i w:val="0"/>
                <w:color w:val="auto"/>
                <w:kern w:val="0"/>
                <w:sz w:val="21"/>
                <w:szCs w:val="21"/>
                <w:u w:val="none"/>
                <w:lang w:val="en-US" w:eastAsia="zh-CN" w:bidi="ar"/>
              </w:rPr>
              <w:t>）</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2201"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vertAlign w:val="baseline"/>
                <w:lang w:eastAsia="zh-CN"/>
              </w:rPr>
              <w:t>国家卫生健康委员会</w:t>
            </w:r>
          </w:p>
        </w:tc>
        <w:tc>
          <w:tcPr>
            <w:tcW w:w="2250"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color w:val="auto"/>
                <w:sz w:val="24"/>
                <w:szCs w:val="24"/>
                <w:vertAlign w:val="baseline"/>
                <w:lang w:eastAsia="zh-CN"/>
              </w:rPr>
              <w:t>广州市卫生健康技术鉴定和人才评价中心</w:t>
            </w:r>
          </w:p>
        </w:tc>
        <w:tc>
          <w:tcPr>
            <w:tcW w:w="2711"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tabs>
                <w:tab w:val="left" w:pos="206"/>
              </w:tabs>
              <w:jc w:val="left"/>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2"/>
                <w:sz w:val="21"/>
                <w:szCs w:val="21"/>
                <w:u w:val="none"/>
                <w:lang w:val="en-US" w:eastAsia="zh-CN" w:bidi="ar"/>
              </w:rPr>
              <w:t>详见广州市卫生健康委员会官网“专题</w:t>
            </w:r>
            <w:r>
              <w:rPr>
                <w:rFonts w:hint="eastAsia" w:ascii="Times New Roman" w:hAnsi="Times New Roman" w:eastAsia="仿宋_GB2312" w:cs="Times New Roman"/>
                <w:color w:val="auto"/>
                <w:sz w:val="21"/>
                <w:szCs w:val="21"/>
                <w:vertAlign w:val="baseline"/>
                <w:lang w:val="en-US" w:eastAsia="zh-CN"/>
              </w:rPr>
              <w:t>-</w:t>
            </w:r>
            <w:r>
              <w:rPr>
                <w:rFonts w:hint="eastAsia" w:ascii="Times New Roman" w:hAnsi="Times New Roman" w:eastAsia="仿宋_GB2312" w:cs="Times New Roman"/>
                <w:i w:val="0"/>
                <w:color w:val="auto"/>
                <w:kern w:val="2"/>
                <w:sz w:val="21"/>
                <w:szCs w:val="21"/>
                <w:u w:val="none"/>
                <w:lang w:val="en-US" w:eastAsia="zh-CN" w:bidi="ar"/>
              </w:rPr>
              <w:t>考试评审”栏目（http://wjw.gz.gov.cn）</w:t>
            </w:r>
            <w:r>
              <w:rPr>
                <w:rFonts w:ascii="Times New Roman" w:hAnsi="Times New Roman" w:eastAsia="仿宋_GB2312" w:cs="Times New Roman"/>
                <w:color w:val="auto"/>
                <w:kern w:val="0"/>
                <w:sz w:val="21"/>
                <w:szCs w:val="21"/>
                <w:lang w:bidi="ar"/>
              </w:rPr>
              <w:t>对应的通知公告</w:t>
            </w:r>
            <w:r>
              <w:rPr>
                <w:rFonts w:hint="eastAsia" w:ascii="Times New Roman" w:hAnsi="Times New Roman" w:eastAsia="仿宋_GB2312" w:cs="Times New Roman"/>
                <w:color w:val="auto"/>
                <w:kern w:val="0"/>
                <w:sz w:val="21"/>
                <w:szCs w:val="21"/>
                <w:lang w:eastAsia="zh-CN" w:bidi="ar"/>
              </w:rPr>
              <w:t>。</w:t>
            </w:r>
          </w:p>
        </w:tc>
      </w:tr>
      <w:tr>
        <w:tblPrEx>
          <w:tblCellMar>
            <w:top w:w="0" w:type="dxa"/>
            <w:left w:w="0" w:type="dxa"/>
            <w:bottom w:w="0" w:type="dxa"/>
            <w:right w:w="0" w:type="dxa"/>
          </w:tblCellMar>
        </w:tblPrEx>
        <w:trPr>
          <w:trHeight w:val="86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40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护士执业资格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highlight w:val="none"/>
                <w:u w:val="none"/>
                <w:lang w:val="en-US" w:eastAsia="zh-CN" w:bidi="ar"/>
              </w:rPr>
              <w:t>——</w:t>
            </w:r>
          </w:p>
        </w:tc>
        <w:tc>
          <w:tcPr>
            <w:tcW w:w="2201"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eastAsia="zh-CN"/>
              </w:rPr>
            </w:pPr>
            <w:r>
              <w:rPr>
                <w:rFonts w:hint="default" w:ascii="Times New Roman" w:hAnsi="Times New Roman" w:eastAsia="仿宋_GB2312" w:cs="Times New Roman"/>
                <w:color w:val="auto"/>
                <w:sz w:val="24"/>
                <w:szCs w:val="24"/>
                <w:highlight w:val="none"/>
                <w:vertAlign w:val="baseline"/>
                <w:lang w:eastAsia="zh-CN"/>
              </w:rPr>
              <w:t>国家卫生健康委员会</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vertAlign w:val="baseline"/>
                <w:lang w:eastAsia="zh-CN"/>
              </w:rPr>
              <w:t>人力资源社会保障部</w:t>
            </w:r>
          </w:p>
        </w:tc>
        <w:tc>
          <w:tcPr>
            <w:tcW w:w="225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71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r>
        <w:tblPrEx>
          <w:tblCellMar>
            <w:top w:w="0" w:type="dxa"/>
            <w:left w:w="0" w:type="dxa"/>
            <w:bottom w:w="0" w:type="dxa"/>
            <w:right w:w="0" w:type="dxa"/>
          </w:tblCellMar>
        </w:tblPrEx>
        <w:trPr>
          <w:trHeight w:val="11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default" w:ascii="Times New Roman" w:hAnsi="Times New Roman" w:eastAsia="仿宋_GB2312" w:cs="Times New Roman"/>
                <w:i w:val="0"/>
                <w:color w:val="auto"/>
                <w:kern w:val="0"/>
                <w:sz w:val="24"/>
                <w:szCs w:val="24"/>
                <w:u w:val="none"/>
                <w:lang w:val="en-US" w:eastAsia="zh-CN" w:bidi="ar"/>
              </w:rPr>
              <w:t>41</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sz w:val="24"/>
                <w:szCs w:val="24"/>
                <w:vertAlign w:val="baseline"/>
                <w:lang w:eastAsia="zh-CN"/>
              </w:rPr>
              <w:t>卫生专业技术资格</w:t>
            </w:r>
          </w:p>
        </w:tc>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i w:val="0"/>
                <w:color w:val="auto"/>
                <w:kern w:val="0"/>
                <w:sz w:val="24"/>
                <w:szCs w:val="24"/>
                <w:u w:val="none"/>
                <w:lang w:val="en-US" w:eastAsia="zh-CN" w:bidi="ar"/>
              </w:rPr>
              <w:t>是</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color w:val="auto"/>
                <w:kern w:val="0"/>
                <w:sz w:val="24"/>
                <w:szCs w:val="24"/>
                <w:u w:val="none"/>
                <w:lang w:val="en-US" w:eastAsia="zh-CN" w:bidi="ar"/>
              </w:rPr>
            </w:pPr>
            <w:r>
              <w:rPr>
                <w:rFonts w:hint="eastAsia" w:ascii="Times New Roman" w:hAnsi="Times New Roman" w:eastAsia="仿宋_GB2312" w:cs="Times New Roman"/>
                <w:color w:val="auto"/>
                <w:kern w:val="0"/>
                <w:sz w:val="21"/>
                <w:szCs w:val="21"/>
                <w:lang w:val="en-US" w:eastAsia="zh-CN" w:bidi="ar"/>
              </w:rPr>
              <w:t>允许有</w:t>
            </w:r>
            <w:r>
              <w:rPr>
                <w:rFonts w:hint="eastAsia" w:eastAsia="仿宋_GB2312" w:cs="Times New Roman"/>
                <w:color w:val="auto"/>
                <w:kern w:val="0"/>
                <w:sz w:val="21"/>
                <w:szCs w:val="21"/>
                <w:lang w:val="en-US" w:eastAsia="zh-CN" w:bidi="ar"/>
              </w:rPr>
              <w:t>“</w:t>
            </w:r>
            <w:r>
              <w:rPr>
                <w:rFonts w:hint="eastAsia" w:ascii="Times New Roman" w:hAnsi="Times New Roman" w:eastAsia="仿宋_GB2312" w:cs="Times New Roman"/>
                <w:color w:val="auto"/>
                <w:kern w:val="0"/>
                <w:sz w:val="21"/>
                <w:szCs w:val="21"/>
                <w:lang w:val="en-US" w:eastAsia="zh-CN" w:bidi="ar"/>
              </w:rPr>
              <w:t>外国人永久居留证</w:t>
            </w:r>
            <w:r>
              <w:rPr>
                <w:rFonts w:hint="eastAsia" w:eastAsia="仿宋_GB2312" w:cs="Times New Roman"/>
                <w:color w:val="auto"/>
                <w:kern w:val="0"/>
                <w:sz w:val="21"/>
                <w:szCs w:val="21"/>
                <w:lang w:val="en-US" w:eastAsia="zh-CN" w:bidi="ar"/>
              </w:rPr>
              <w:t>”</w:t>
            </w:r>
            <w:r>
              <w:rPr>
                <w:rFonts w:hint="eastAsia" w:ascii="Times New Roman" w:hAnsi="Times New Roman" w:eastAsia="仿宋_GB2312" w:cs="Times New Roman"/>
                <w:color w:val="auto"/>
                <w:kern w:val="0"/>
                <w:sz w:val="21"/>
                <w:szCs w:val="21"/>
                <w:lang w:val="en-US" w:eastAsia="zh-CN" w:bidi="ar"/>
              </w:rPr>
              <w:t>的外籍考生报考</w:t>
            </w:r>
          </w:p>
        </w:tc>
        <w:tc>
          <w:tcPr>
            <w:tcW w:w="22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eastAsia="zh-CN"/>
              </w:rPr>
            </w:pPr>
            <w:r>
              <w:rPr>
                <w:rFonts w:hint="default" w:ascii="Times New Roman" w:hAnsi="Times New Roman" w:eastAsia="仿宋_GB2312" w:cs="Times New Roman"/>
                <w:color w:val="auto"/>
                <w:sz w:val="24"/>
                <w:szCs w:val="24"/>
                <w:highlight w:val="none"/>
                <w:vertAlign w:val="baseline"/>
                <w:lang w:eastAsia="zh-CN"/>
              </w:rPr>
              <w:t>国家卫生健康委</w:t>
            </w:r>
          </w:p>
          <w:p>
            <w:pPr>
              <w:keepNext w:val="0"/>
              <w:keepLines w:val="0"/>
              <w:widowControl/>
              <w:suppressLineNumbers w:val="0"/>
              <w:spacing w:line="360" w:lineRule="exact"/>
              <w:jc w:val="center"/>
              <w:textAlignment w:val="center"/>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vertAlign w:val="baseline"/>
                <w:lang w:eastAsia="zh-CN"/>
              </w:rPr>
              <w:t>人力资源社会保障部</w:t>
            </w:r>
          </w:p>
        </w:tc>
        <w:tc>
          <w:tcPr>
            <w:tcW w:w="2250"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c>
          <w:tcPr>
            <w:tcW w:w="2711"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auto"/>
                <w:kern w:val="0"/>
                <w:sz w:val="24"/>
                <w:szCs w:val="24"/>
                <w:u w:val="none"/>
                <w:lang w:val="en-US" w:eastAsia="zh-CN" w:bidi="ar"/>
              </w:rPr>
            </w:pPr>
          </w:p>
        </w:tc>
      </w:tr>
    </w:tbl>
    <w:p>
      <w:pPr>
        <w:pStyle w:val="2"/>
        <w:ind w:left="0" w:leftChars="0" w:firstLine="0" w:firstLineChars="0"/>
        <w:rPr>
          <w:rFonts w:hint="eastAsia" w:ascii="仿宋_GB2312" w:hAnsi="仿宋_GB2312" w:eastAsia="仿宋_GB2312" w:cs="仿宋_GB2312"/>
          <w:color w:val="auto"/>
          <w:sz w:val="28"/>
          <w:szCs w:val="28"/>
          <w:lang w:eastAsia="zh-CN"/>
        </w:rPr>
      </w:pPr>
    </w:p>
    <w:p>
      <w:pPr>
        <w:widowControl w:val="0"/>
        <w:numPr>
          <w:ilvl w:val="0"/>
          <w:numId w:val="0"/>
        </w:numPr>
        <w:tabs>
          <w:tab w:val="left" w:pos="312"/>
        </w:tabs>
        <w:ind w:leftChars="0"/>
        <w:jc w:val="left"/>
        <w:rPr>
          <w:rFonts w:hint="default" w:ascii="Times New Roman" w:hAnsi="Times New Roman" w:eastAsia="仿宋_GB2312" w:cs="Times New Roman"/>
          <w:i w:val="0"/>
          <w:iCs w:val="0"/>
          <w:caps w:val="0"/>
          <w:color w:val="auto"/>
          <w:spacing w:val="0"/>
          <w:kern w:val="0"/>
          <w:sz w:val="24"/>
          <w:szCs w:val="24"/>
          <w:shd w:val="clear" w:fill="FFFFFF"/>
          <w:lang w:val="en-US" w:eastAsia="zh-CN" w:bidi="ar"/>
        </w:rPr>
      </w:pPr>
      <w:bookmarkStart w:id="1" w:name="_Ref14701"/>
      <w:r>
        <w:rPr>
          <w:rFonts w:hint="eastAsia" w:ascii="仿宋_GB2312" w:hAnsi="仿宋_GB2312" w:eastAsia="仿宋_GB2312" w:cs="仿宋_GB2312"/>
          <w:b w:val="0"/>
          <w:color w:val="auto"/>
          <w:kern w:val="2"/>
          <w:sz w:val="24"/>
          <w:szCs w:val="24"/>
          <w:lang w:val="en-US" w:eastAsia="zh-CN" w:bidi="ar-SA"/>
        </w:rPr>
        <w:t>[</w:t>
      </w:r>
      <w:r>
        <w:rPr>
          <w:rFonts w:hint="default" w:ascii="Times New Roman" w:hAnsi="Times New Roman" w:eastAsia="仿宋_GB2312" w:cs="Times New Roman"/>
          <w:b w:val="0"/>
          <w:color w:val="auto"/>
          <w:kern w:val="2"/>
          <w:sz w:val="24"/>
          <w:szCs w:val="24"/>
          <w:lang w:val="en-US" w:eastAsia="zh-CN" w:bidi="ar-SA"/>
        </w:rPr>
        <w:t>1</w:t>
      </w:r>
      <w:r>
        <w:rPr>
          <w:rFonts w:hint="eastAsia" w:ascii="仿宋_GB2312" w:hAnsi="仿宋_GB2312" w:eastAsia="仿宋_GB2312" w:cs="仿宋_GB2312"/>
          <w:b w:val="0"/>
          <w:color w:val="auto"/>
          <w:kern w:val="2"/>
          <w:sz w:val="24"/>
          <w:szCs w:val="24"/>
          <w:lang w:val="en-US" w:eastAsia="zh-CN" w:bidi="ar-SA"/>
        </w:rPr>
        <w:t>]</w:t>
      </w:r>
      <w:r>
        <w:rPr>
          <w:rFonts w:hint="default" w:ascii="Times New Roman" w:hAnsi="Times New Roman" w:eastAsia="仿宋_GB2312" w:cs="Times New Roman"/>
          <w:i w:val="0"/>
          <w:iCs w:val="0"/>
          <w:caps w:val="0"/>
          <w:color w:val="auto"/>
          <w:spacing w:val="0"/>
          <w:kern w:val="0"/>
          <w:sz w:val="24"/>
          <w:szCs w:val="24"/>
          <w:shd w:val="clear" w:fill="FFFFFF"/>
          <w:lang w:val="en-US" w:eastAsia="zh-CN" w:bidi="ar"/>
        </w:rPr>
        <w:t>《中华人民共和国注册建筑师条例实施细则》（建设部令第167号</w:t>
      </w:r>
      <w:r>
        <w:rPr>
          <w:rFonts w:hint="eastAsia" w:eastAsia="仿宋_GB2312" w:cs="Times New Roman"/>
          <w:i w:val="0"/>
          <w:iCs w:val="0"/>
          <w:caps w:val="0"/>
          <w:color w:val="auto"/>
          <w:spacing w:val="0"/>
          <w:kern w:val="0"/>
          <w:sz w:val="24"/>
          <w:szCs w:val="24"/>
          <w:shd w:val="clear" w:fill="FFFFFF"/>
          <w:lang w:val="en-US" w:eastAsia="zh-CN" w:bidi="ar"/>
        </w:rPr>
        <w:t>）</w:t>
      </w:r>
      <w:bookmarkEnd w:id="1"/>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tabs>
          <w:tab w:val="left" w:pos="0"/>
        </w:tabs>
        <w:spacing w:before="0" w:beforeAutospacing="0" w:after="300" w:afterAutospacing="0" w:line="420" w:lineRule="atLeast"/>
        <w:ind w:leftChars="0" w:right="0" w:rightChars="0"/>
        <w:jc w:val="both"/>
        <w:outlineLvl w:val="0"/>
        <w:rPr>
          <w:rFonts w:hint="eastAsia" w:ascii="仿宋_GB2312" w:hAnsi="仿宋_GB2312" w:eastAsia="仿宋_GB2312" w:cs="仿宋_GB2312"/>
          <w:b w:val="0"/>
          <w:color w:val="auto"/>
          <w:kern w:val="2"/>
          <w:sz w:val="24"/>
          <w:szCs w:val="24"/>
          <w:lang w:val="en-US" w:eastAsia="zh-CN" w:bidi="ar-SA"/>
        </w:rPr>
      </w:pPr>
      <w:bookmarkStart w:id="2" w:name="_Ref15285"/>
      <w:r>
        <w:rPr>
          <w:rFonts w:hint="eastAsia" w:ascii="仿宋_GB2312" w:hAnsi="仿宋_GB2312" w:eastAsia="仿宋_GB2312" w:cs="仿宋_GB2312"/>
          <w:b w:val="0"/>
          <w:color w:val="auto"/>
          <w:kern w:val="2"/>
          <w:sz w:val="24"/>
          <w:szCs w:val="24"/>
          <w:lang w:val="en-US" w:eastAsia="zh-CN" w:bidi="ar-SA"/>
        </w:rPr>
        <w:t>[</w:t>
      </w:r>
      <w:r>
        <w:rPr>
          <w:rFonts w:hint="default" w:ascii="Times New Roman" w:hAnsi="Times New Roman" w:eastAsia="仿宋_GB2312" w:cs="Times New Roman"/>
          <w:b w:val="0"/>
          <w:color w:val="auto"/>
          <w:kern w:val="2"/>
          <w:sz w:val="24"/>
          <w:szCs w:val="24"/>
          <w:lang w:val="en-US" w:eastAsia="zh-CN" w:bidi="ar-SA"/>
        </w:rPr>
        <w:t>2</w:t>
      </w:r>
      <w:r>
        <w:rPr>
          <w:rFonts w:hint="eastAsia" w:ascii="仿宋_GB2312" w:hAnsi="仿宋_GB2312" w:eastAsia="仿宋_GB2312" w:cs="仿宋_GB2312"/>
          <w:b w:val="0"/>
          <w:color w:val="auto"/>
          <w:kern w:val="2"/>
          <w:sz w:val="24"/>
          <w:szCs w:val="24"/>
          <w:lang w:val="en-US" w:eastAsia="zh-CN" w:bidi="ar-SA"/>
        </w:rPr>
        <w:t>]《国家知识产权局办公室关于专利代理对外开放试点地区的外国人参加专利代理师资格考试的通知》（国知办函运字〔</w:t>
      </w:r>
      <w:r>
        <w:rPr>
          <w:rFonts w:hint="default" w:ascii="Times New Roman" w:hAnsi="Times New Roman" w:eastAsia="仿宋_GB2312" w:cs="Times New Roman"/>
          <w:b w:val="0"/>
          <w:color w:val="auto"/>
          <w:kern w:val="2"/>
          <w:sz w:val="24"/>
          <w:szCs w:val="24"/>
          <w:lang w:val="en-US" w:eastAsia="zh-CN" w:bidi="ar-SA"/>
        </w:rPr>
        <w:t>2021</w:t>
      </w:r>
      <w:r>
        <w:rPr>
          <w:rFonts w:hint="eastAsia" w:ascii="仿宋_GB2312" w:hAnsi="仿宋_GB2312" w:eastAsia="仿宋_GB2312" w:cs="仿宋_GB2312"/>
          <w:b w:val="0"/>
          <w:color w:val="auto"/>
          <w:kern w:val="2"/>
          <w:sz w:val="24"/>
          <w:szCs w:val="24"/>
          <w:lang w:val="en-US" w:eastAsia="zh-CN" w:bidi="ar-SA"/>
        </w:rPr>
        <w:t>〕</w:t>
      </w:r>
      <w:r>
        <w:rPr>
          <w:rFonts w:hint="default" w:ascii="Times New Roman" w:hAnsi="Times New Roman" w:eastAsia="仿宋_GB2312" w:cs="Times New Roman"/>
          <w:b w:val="0"/>
          <w:color w:val="auto"/>
          <w:kern w:val="2"/>
          <w:sz w:val="24"/>
          <w:szCs w:val="24"/>
          <w:lang w:val="en-US" w:eastAsia="zh-CN" w:bidi="ar-SA"/>
        </w:rPr>
        <w:t>517</w:t>
      </w:r>
      <w:r>
        <w:rPr>
          <w:rFonts w:hint="eastAsia" w:ascii="仿宋_GB2312" w:hAnsi="仿宋_GB2312" w:eastAsia="仿宋_GB2312" w:cs="仿宋_GB2312"/>
          <w:b w:val="0"/>
          <w:color w:val="auto"/>
          <w:kern w:val="2"/>
          <w:sz w:val="24"/>
          <w:szCs w:val="24"/>
          <w:lang w:val="en-US" w:eastAsia="zh-CN" w:bidi="ar-SA"/>
        </w:rPr>
        <w:t>号）</w:t>
      </w:r>
      <w:bookmarkEnd w:id="2"/>
    </w:p>
    <w:p>
      <w:pPr>
        <w:keepNext w:val="0"/>
        <w:keepLines w:val="0"/>
        <w:pageBreakBefore w:val="0"/>
        <w:widowControl w:val="0"/>
        <w:kinsoku/>
        <w:wordWrap/>
        <w:overflowPunct/>
        <w:topLinePunct w:val="0"/>
        <w:autoSpaceDE/>
        <w:autoSpaceDN/>
        <w:bidi w:val="0"/>
        <w:adjustRightInd/>
        <w:snapToGrid/>
        <w:spacing w:line="120" w:lineRule="exact"/>
        <w:textAlignment w:val="auto"/>
        <w:rPr>
          <w:color w:val="auto"/>
        </w:rPr>
      </w:pPr>
    </w:p>
    <w:sectPr>
      <w:headerReference r:id="rId3" w:type="default"/>
      <w:footerReference r:id="rId5" w:type="default"/>
      <w:headerReference r:id="rId4" w:type="even"/>
      <w:footerReference r:id="rId6" w:type="even"/>
      <w:pgSz w:w="16838" w:h="11905" w:orient="landscape"/>
      <w:pgMar w:top="1531" w:right="1417" w:bottom="1531" w:left="1417" w:header="851" w:footer="992" w:gutter="0"/>
      <w:pgNumType w:fmt="decimal" w:start="1"/>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firstLine="282" w:firstLineChars="101"/>
      <w:jc w:val="right"/>
      <w:rPr>
        <w:rFonts w:hint="default" w:ascii="Times New Roman" w:hAnsi="Times New Roman" w:cs="Times New Roman" w:eastAsiaTheme="minorEastAsia"/>
        <w:sz w:val="36"/>
        <w:szCs w:val="36"/>
        <w:lang w:val="en-US" w:eastAsia="zh-CN"/>
      </w:rPr>
    </w:pPr>
    <w:r>
      <w:rPr>
        <w:rFonts w:hint="eastAsia" w:ascii="Times New Roman" w:hAnsi="Times New Roman"/>
        <w:sz w:val="28"/>
        <w:szCs w:val="28"/>
        <w:lang w:val="en-US" w:eastAsia="zh-CN"/>
      </w:rPr>
      <w:t xml:space="preserve">  </w:t>
    </w: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r>
      <w:rPr>
        <w:rFonts w:hint="eastAsia" w:ascii="Times New Roman" w:hAnsi="Times New Roman"/>
        <w:sz w:val="28"/>
        <w:szCs w:val="2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0" w:firstLineChars="0"/>
      <w:rPr>
        <w:rFonts w:ascii="Times New Roman" w:hAnsi="Times New Roman" w:cs="Times New Roman"/>
        <w:b/>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0" w:firstLineChars="0"/>
                          </w:pPr>
                          <w:r>
                            <w:rPr>
                              <w:rFonts w:hint="eastAsia" w:ascii="Times New Roman" w:hAnsi="Times New Roman"/>
                              <w:sz w:val="28"/>
                              <w:szCs w:val="28"/>
                              <w:lang w:val="en-US" w:eastAsia="zh-CN"/>
                            </w:rPr>
                            <w:t xml:space="preserve">  </w:t>
                          </w: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ind w:firstLine="0" w:firstLineChars="0"/>
                    </w:pPr>
                    <w:r>
                      <w:rPr>
                        <w:rFonts w:hint="eastAsia" w:ascii="Times New Roman" w:hAnsi="Times New Roman"/>
                        <w:sz w:val="28"/>
                        <w:szCs w:val="28"/>
                        <w:lang w:val="en-US" w:eastAsia="zh-CN"/>
                      </w:rPr>
                      <w:t xml:space="preserve">  </w:t>
                    </w: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3A5463"/>
    <w:multiLevelType w:val="singleLevel"/>
    <w:tmpl w:val="743A546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revisionView w:markup="0"/>
  <w:trackRevisions w:val="1"/>
  <w:documentProtection w:enforcement="0"/>
  <w:defaultTabStop w:val="420"/>
  <w:evenAndOddHeaders w:val="1"/>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lZjcyNzJjODIxZTkxZTBjY2YxOGI3ZjkzMGZiOTMifQ=="/>
  </w:docVars>
  <w:rsids>
    <w:rsidRoot w:val="0352762A"/>
    <w:rsid w:val="00002794"/>
    <w:rsid w:val="00284A14"/>
    <w:rsid w:val="00306460"/>
    <w:rsid w:val="0077222D"/>
    <w:rsid w:val="00836A75"/>
    <w:rsid w:val="00B94AA3"/>
    <w:rsid w:val="00BB4B8D"/>
    <w:rsid w:val="00C637F8"/>
    <w:rsid w:val="00D847E2"/>
    <w:rsid w:val="00E65132"/>
    <w:rsid w:val="00E97B89"/>
    <w:rsid w:val="00EB1097"/>
    <w:rsid w:val="00F1340B"/>
    <w:rsid w:val="00FD6FC4"/>
    <w:rsid w:val="0226483D"/>
    <w:rsid w:val="0352762A"/>
    <w:rsid w:val="077720E9"/>
    <w:rsid w:val="0C3D20A1"/>
    <w:rsid w:val="0C514247"/>
    <w:rsid w:val="0FD72EBA"/>
    <w:rsid w:val="12D01B49"/>
    <w:rsid w:val="13F44ADE"/>
    <w:rsid w:val="172C7333"/>
    <w:rsid w:val="1A5E3C5E"/>
    <w:rsid w:val="1C9D7329"/>
    <w:rsid w:val="1D7EA2AC"/>
    <w:rsid w:val="22254750"/>
    <w:rsid w:val="24A908C8"/>
    <w:rsid w:val="2BFFE629"/>
    <w:rsid w:val="2DB989E3"/>
    <w:rsid w:val="2E313D3D"/>
    <w:rsid w:val="38394838"/>
    <w:rsid w:val="3A3041FE"/>
    <w:rsid w:val="3A6844E9"/>
    <w:rsid w:val="3A817BA6"/>
    <w:rsid w:val="3CF4588F"/>
    <w:rsid w:val="3D965098"/>
    <w:rsid w:val="3EBF5E7E"/>
    <w:rsid w:val="41B80082"/>
    <w:rsid w:val="47C85E56"/>
    <w:rsid w:val="4A4B3A7A"/>
    <w:rsid w:val="52D83662"/>
    <w:rsid w:val="53C4276E"/>
    <w:rsid w:val="54993A1D"/>
    <w:rsid w:val="56193EDB"/>
    <w:rsid w:val="57BA3C16"/>
    <w:rsid w:val="59282B75"/>
    <w:rsid w:val="5CE70495"/>
    <w:rsid w:val="5F3439F6"/>
    <w:rsid w:val="5FBAF31D"/>
    <w:rsid w:val="5FDE0AD6"/>
    <w:rsid w:val="61591A51"/>
    <w:rsid w:val="630A3A09"/>
    <w:rsid w:val="63847AD9"/>
    <w:rsid w:val="68F906BC"/>
    <w:rsid w:val="6A0A1597"/>
    <w:rsid w:val="6B80410D"/>
    <w:rsid w:val="6E5F59DF"/>
    <w:rsid w:val="75AC0818"/>
    <w:rsid w:val="75DC68EA"/>
    <w:rsid w:val="77E6F7AA"/>
    <w:rsid w:val="7D27082B"/>
    <w:rsid w:val="7F7FCACA"/>
    <w:rsid w:val="7FEEEB46"/>
    <w:rsid w:val="7FFB6246"/>
    <w:rsid w:val="C777E13A"/>
    <w:rsid w:val="CDFE0E06"/>
    <w:rsid w:val="EDFD16EC"/>
    <w:rsid w:val="FBFF326D"/>
    <w:rsid w:val="FEFEAA9F"/>
    <w:rsid w:val="FF6FF5ED"/>
    <w:rsid w:val="FFF67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4">
    <w:name w:val="Normal Indent"/>
    <w:basedOn w:val="1"/>
    <w:unhideWhenUsed/>
    <w:qFormat/>
    <w:uiPriority w:val="99"/>
    <w:pPr>
      <w:ind w:firstLine="420" w:firstLineChars="200"/>
    </w:pPr>
  </w:style>
  <w:style w:type="paragraph" w:styleId="5">
    <w:name w:val="Body Text Indent"/>
    <w:basedOn w:val="1"/>
    <w:link w:val="18"/>
    <w:qFormat/>
    <w:uiPriority w:val="0"/>
    <w:pPr>
      <w:ind w:firstLine="601"/>
    </w:pPr>
    <w:rPr>
      <w:rFonts w:eastAsia="仿宋_GB2312" w:asciiTheme="minorHAnsi" w:hAnsiTheme="minorHAnsi" w:cstheme="minorBidi"/>
      <w:sz w:val="32"/>
      <w:szCs w:val="22"/>
    </w:rPr>
  </w:style>
  <w:style w:type="paragraph" w:styleId="6">
    <w:name w:val="Balloon Text"/>
    <w:basedOn w:val="1"/>
    <w:link w:val="20"/>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semiHidden/>
    <w:unhideWhenUsed/>
    <w:qFormat/>
    <w:uiPriority w:val="99"/>
    <w:rPr>
      <w:sz w:val="24"/>
    </w:rPr>
  </w:style>
  <w:style w:type="character" w:styleId="12">
    <w:name w:val="Strong"/>
    <w:basedOn w:val="11"/>
    <w:qFormat/>
    <w:uiPriority w:val="22"/>
    <w:rPr>
      <w:b/>
    </w:rPr>
  </w:style>
  <w:style w:type="character" w:styleId="13">
    <w:name w:val="Hyperlink"/>
    <w:basedOn w:val="11"/>
    <w:semiHidden/>
    <w:unhideWhenUsed/>
    <w:qFormat/>
    <w:uiPriority w:val="99"/>
    <w:rPr>
      <w:color w:val="0000FF"/>
      <w:u w:val="single"/>
    </w:rPr>
  </w:style>
  <w:style w:type="character" w:customStyle="1" w:styleId="14">
    <w:name w:val="页眉 Char"/>
    <w:link w:val="8"/>
    <w:qFormat/>
    <w:uiPriority w:val="0"/>
    <w:rPr>
      <w:sz w:val="18"/>
      <w:szCs w:val="18"/>
    </w:rPr>
  </w:style>
  <w:style w:type="character" w:customStyle="1" w:styleId="15">
    <w:name w:val="页脚 Char1"/>
    <w:link w:val="7"/>
    <w:qFormat/>
    <w:uiPriority w:val="99"/>
    <w:rPr>
      <w:sz w:val="18"/>
      <w:szCs w:val="18"/>
    </w:rPr>
  </w:style>
  <w:style w:type="character" w:customStyle="1" w:styleId="16">
    <w:name w:val="页脚 Char"/>
    <w:basedOn w:val="11"/>
    <w:semiHidden/>
    <w:qFormat/>
    <w:uiPriority w:val="99"/>
    <w:rPr>
      <w:rFonts w:ascii="Times New Roman" w:hAnsi="Times New Roman" w:eastAsia="宋体" w:cs="Times New Roman"/>
      <w:sz w:val="18"/>
      <w:szCs w:val="18"/>
    </w:rPr>
  </w:style>
  <w:style w:type="character" w:customStyle="1" w:styleId="17">
    <w:name w:val="页眉 Char1"/>
    <w:basedOn w:val="11"/>
    <w:semiHidden/>
    <w:qFormat/>
    <w:uiPriority w:val="99"/>
    <w:rPr>
      <w:rFonts w:ascii="Times New Roman" w:hAnsi="Times New Roman" w:eastAsia="宋体" w:cs="Times New Roman"/>
      <w:sz w:val="18"/>
      <w:szCs w:val="18"/>
    </w:rPr>
  </w:style>
  <w:style w:type="character" w:customStyle="1" w:styleId="18">
    <w:name w:val="正文文本缩进 Char"/>
    <w:link w:val="5"/>
    <w:qFormat/>
    <w:uiPriority w:val="0"/>
    <w:rPr>
      <w:rFonts w:eastAsia="仿宋_GB2312"/>
      <w:sz w:val="32"/>
    </w:rPr>
  </w:style>
  <w:style w:type="character" w:customStyle="1" w:styleId="19">
    <w:name w:val="正文文本缩进 Char1"/>
    <w:basedOn w:val="11"/>
    <w:semiHidden/>
    <w:qFormat/>
    <w:uiPriority w:val="99"/>
    <w:rPr>
      <w:rFonts w:ascii="Times New Roman" w:hAnsi="Times New Roman" w:eastAsia="宋体" w:cs="Times New Roman"/>
      <w:szCs w:val="24"/>
    </w:rPr>
  </w:style>
  <w:style w:type="character" w:customStyle="1" w:styleId="20">
    <w:name w:val="批注框文本 Char"/>
    <w:basedOn w:val="11"/>
    <w:link w:val="6"/>
    <w:semiHidden/>
    <w:qFormat/>
    <w:uiPriority w:val="99"/>
    <w:rPr>
      <w:rFonts w:ascii="Times New Roman" w:hAnsi="Times New Roman" w:eastAsia="宋体" w:cs="Times New Roman"/>
      <w:sz w:val="18"/>
      <w:szCs w:val="18"/>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aaa\Z:\home\ht706\C:\home\ht706\E:\home\guest\E:\2023&#24180;&#32771;&#35797;\&#22659;&#22806;&#20154;&#21592;&#24320;&#25918;&#32844;&#19994;&#32771;&#35797;&#30446;&#24405;\&#21453;&#39304;&#24847;&#35265;&#25910;&#38598;\&#25972;&#29702;\&#24191;&#24030;&#24066;&#20154;&#21147;&#36164;&#28304;&#21644;&#31038;&#20250;&#20445;&#38556;&#23616;&#20851;&#20110;&#21457;&#24067;&#12298;&#24191;&#24030;&#24066;&#23545;&#22659;&#22806;&#20154;&#21592;&#24320;&#25918;&#19987;&#19994;&#25216;&#26415;&#20154;&#21592;&#32844;&#19994;&#36164;&#26684;&#32771;&#35797;&#30446;&#24405;&#12299;&#30340;&#36890;&#3069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广州市人力资源和社会保障局关于发布《广州市对境外人员开放专业技术人员职业资格考试目录》的通知.dotx</Template>
  <Pages>8</Pages>
  <Words>2735</Words>
  <Characters>3248</Characters>
  <Lines>2</Lines>
  <Paragraphs>1</Paragraphs>
  <TotalTime>72</TotalTime>
  <ScaleCrop>false</ScaleCrop>
  <LinksUpToDate>false</LinksUpToDate>
  <CharactersWithSpaces>3313</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2023-06-16T18:18:00Z</dcterms:created>
  <dc:creator>杨巧玲</dc:creator>
  <cp:lastModifiedBy>陆健茹</cp:lastModifiedBy>
  <cp:lastPrinted>2026-06-06T01:29:00Z</cp:lastPrinted>
  <dcterms:modified xsi:type="dcterms:W3CDTF">2026-06-29T03:04:25Z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E1BF2568541A25DE26A23C6A90970A4E</vt:lpwstr>
  </property>
</Properties>
</file>