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附件48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李兰辉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兴新建筑劳务有限公司（广东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合建工程总承包有限公司）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广东兴新建筑劳务有限公司（广东合建工程总承包有限公司）：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依法受理广东兴新建筑劳务有限公司（广东合建工程总承包有限公司）提出的鉴定（确认）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李兰辉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“编号：〔2026〕62205号”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将李兰辉鉴定（确认）结论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被鉴定人：李兰辉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身份证号：341623********5216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用人单位：广东兴新建筑劳务有限公司（广东合建工程总承包有限公司）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发生工伤或被诊断、鉴定为职业病的时间：2023年11月29日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昏迷、高空坠落伤、全身多发骨折；闭合性颅脑损伤重型；多灶性脑出血；额叶大脑挫裂伤；硬膜下血肿；创伤性蛛网膜下腔出血；面部软组织挫伤；脑耗盐综合征；胸部损伤；三根肋骨骨折不伴第一肋骨骨折；创伤性胸腔积液；脑水肿；肩胛骨骨折；肩胛带脱位；踝和足多处开放性伤口；重型颅脑损伤：右侧基底节、放射冠区脑出血、双侧额叶脑挫裂伤、双侧顶、枕叶硬膜下血肿、蛛网膜下腔出血、右额部软组织挫伤；胸部闭合性损伤：肺挫伤、多发肋骨骨折（左侧第8、10、11后肋）、肺不张、双侧胸腔积液；多发骨折：左锁骨骨折、左肩胛肩峰骨折、左肩关节脱位、腰椎骨折（L2）、左跟骨粉碎性骨折并骨髓炎、右跟骨骨折、左侧足部开放性损伤；肺部感染；中度贫血；低蛋白血症；双小腿肌间静脉血栓形成（完整型）；尿路感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根据《工伤保险条例》和《广东省工伤保险条例》，确认2026年01月19日至2026年02月14日，关于颅内损伤后遗症住院的治疗不属于工伤复发，但属于原工伤部位的继续治疗。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1FED65A7"/>
    <w:rsid w:val="21151445"/>
    <w:rsid w:val="22B53C83"/>
    <w:rsid w:val="22DB7E02"/>
    <w:rsid w:val="23DC3393"/>
    <w:rsid w:val="25A4357C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4C2493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3007CF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3E1C13"/>
    <w:rsid w:val="4DAE227A"/>
    <w:rsid w:val="4E4315BC"/>
    <w:rsid w:val="51A96567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5F884EAA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2D7646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634B01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