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leftChars="0" w:firstLine="0" w:firstLineChars="0"/>
        <w:jc w:val="left"/>
        <w:textAlignment w:val="baseline"/>
        <w:rPr>
          <w:rFonts w:hint="eastAsia" w:ascii="黑体" w:hAnsi="黑体" w:eastAsia="黑体" w:cs="黑体"/>
          <w:b w:val="0"/>
          <w:bCs w:val="0"/>
          <w:color w:val="auto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w w:val="100"/>
          <w:sz w:val="32"/>
          <w:szCs w:val="32"/>
          <w:highlight w:val="none"/>
          <w:lang w:val="en-US" w:eastAsia="zh-CN"/>
        </w:rPr>
        <w:t xml:space="preserve">附件1           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leftChars="0" w:firstLine="0" w:firstLineChars="0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bCs w:val="0"/>
          <w:color w:val="auto"/>
          <w:w w:val="100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w w:val="100"/>
          <w:sz w:val="44"/>
          <w:szCs w:val="44"/>
          <w:highlight w:val="none"/>
          <w:lang w:val="en-US" w:eastAsia="zh-CN"/>
        </w:rPr>
        <w:t>2026年广东省医疗护理员联考工作安排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leftChars="0" w:firstLine="0" w:firstLineChars="0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bCs w:val="0"/>
          <w:color w:val="auto"/>
          <w:w w:val="100"/>
          <w:sz w:val="44"/>
          <w:szCs w:val="44"/>
          <w:highlight w:val="none"/>
          <w:lang w:val="en-US" w:eastAsia="zh-CN"/>
        </w:rPr>
      </w:pPr>
    </w:p>
    <w:tbl>
      <w:tblPr>
        <w:tblStyle w:val="6"/>
        <w:tblW w:w="155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748"/>
        <w:gridCol w:w="789"/>
        <w:gridCol w:w="2038"/>
        <w:gridCol w:w="1987"/>
        <w:gridCol w:w="2588"/>
        <w:gridCol w:w="2300"/>
        <w:gridCol w:w="1912"/>
        <w:gridCol w:w="21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97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7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工种名称</w:t>
            </w:r>
          </w:p>
        </w:tc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技能等级</w:t>
            </w:r>
          </w:p>
        </w:tc>
        <w:tc>
          <w:tcPr>
            <w:tcW w:w="66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联考时间安排</w:t>
            </w:r>
          </w:p>
        </w:tc>
        <w:tc>
          <w:tcPr>
            <w:tcW w:w="6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联考实施机构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9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联考日期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理论知识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考试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技能操作考核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机构备案号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机构类型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97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医疗护理员</w:t>
            </w:r>
          </w:p>
        </w:tc>
        <w:tc>
          <w:tcPr>
            <w:tcW w:w="7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——</w:t>
            </w:r>
          </w:p>
        </w:tc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20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/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6月2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日；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8月15日；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10月17日；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12月19日；</w:t>
            </w:r>
          </w:p>
        </w:tc>
        <w:tc>
          <w:tcPr>
            <w:tcW w:w="19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机考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（8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30-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"/>
              </w:rPr>
              <w:t>: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00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）</w:t>
            </w:r>
          </w:p>
        </w:tc>
        <w:tc>
          <w:tcPr>
            <w:tcW w:w="25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实操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理论考试结束后两天内完成。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广东省护理学会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S000044009118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社会培训评价组织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  <w:jc w:val="center"/>
        </w:trPr>
        <w:tc>
          <w:tcPr>
            <w:tcW w:w="9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258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广州医科大学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S000044008125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社会培训评价组织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  <w:jc w:val="center"/>
        </w:trPr>
        <w:tc>
          <w:tcPr>
            <w:tcW w:w="9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8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25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深圳职业技术大学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S000044008072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社会培训评价组织</w:t>
            </w:r>
          </w:p>
        </w:tc>
      </w:tr>
    </w:tbl>
    <w:p>
      <w:pP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>说明：1、技能操作考核原则上安排在当天内完成，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>若因考生人数较多当天无法安排完毕，可分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>两天（即两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>批次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>考核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>。</w:t>
      </w:r>
    </w:p>
    <w:p>
      <w:pP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 xml:space="preserve">      2、2026年重点推进五级/初级工，其他级别根据实际情况逐步推动。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创艺简标宋">
    <w:altName w:val="黑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3C4707"/>
    <w:rsid w:val="5F3C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400" w:lineRule="exact"/>
    </w:pPr>
    <w:rPr>
      <w:rFonts w:ascii="仿宋_GB2312" w:eastAsia="仿宋_GB2312"/>
      <w:sz w:val="24"/>
      <w:szCs w:val="20"/>
    </w:rPr>
  </w:style>
  <w:style w:type="paragraph" w:styleId="3">
    <w:name w:val="Title"/>
    <w:basedOn w:val="1"/>
    <w:next w:val="4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">
    <w:name w:val="Body Text Indent"/>
    <w:basedOn w:val="1"/>
    <w:next w:val="1"/>
    <w:qFormat/>
    <w:uiPriority w:val="0"/>
    <w:pPr>
      <w:spacing w:line="660" w:lineRule="exact"/>
      <w:ind w:firstLine="1240" w:firstLineChars="100"/>
    </w:pPr>
    <w:rPr>
      <w:rFonts w:eastAsia="创艺简标宋"/>
      <w:color w:val="FF6600"/>
      <w:spacing w:val="360"/>
      <w:sz w:val="5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2026-05-11T01:25:00Z</dcterms:created>
  <dc:creator>赖秀珍</dc:creator>
  <cp:lastModifiedBy>赖秀珍</cp:lastModifiedBy>
  <dcterms:modified xsi:type="dcterms:W3CDTF">2026-05-11T01:25:49Z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EE92C4A580004A87AD86698908EC675A</vt:lpwstr>
  </property>
</Properties>
</file>