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鲁人社字〔2025〕99号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山东省人力资源和社会保障厅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</w:rPr>
        <w:t>发布20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  <w:lang w:eastAsia="zh-CN"/>
        </w:rPr>
        <w:t>人力资源市场工资价位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kern w:val="2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t>各市人力资源社会保障局，省有关部门、单位，各大企业：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经过对202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年全省18个行业门类1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1958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户企业、1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75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万名职工的薪酬情况调查，并对调查数据进行分类整理，形成了202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年人力资源市场工资价位，现予发布并就有关事项通知如下：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一、202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年人力资源市场工资价位包括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57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个职业中类、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36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个数字职业以及管理类、技术类、技能类岗位等级企业从业人员工资价位数据。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二、分位值是指将同类别所有数据按由低到高顺序排列，在数列中处于相应百分比位置的数据，它表示有相应比例的数据低于或等于该数值。每个单项工资价位同时发布10%、25%、50%、75%、90%等5个分位值数据，供对标参考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三、企业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" w:bidi="ar"/>
        </w:rPr>
        <w:t>应当建立工资正常增长机制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，根据企业经济效益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" w:bidi="ar"/>
        </w:rPr>
        <w:t>、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职工工作岗位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" w:bidi="ar"/>
        </w:rPr>
        <w:t>和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岗位等级，合理确定职工工资水平。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hAnsi="微软雅黑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微软雅黑" w:eastAsia="仿宋_GB2312" w:cs="仿宋_GB2312"/>
          <w:snapToGrid/>
          <w:color w:val="auto"/>
          <w:kern w:val="0"/>
          <w:sz w:val="32"/>
          <w:szCs w:val="32"/>
          <w:shd w:val="clear" w:fill="FFFFFF"/>
          <w:lang w:val="en-US" w:eastAsia="zh-CN" w:bidi="ar"/>
        </w:rPr>
        <w:t>附件：</w:t>
      </w:r>
      <w:r>
        <w:rPr>
          <w:rFonts w:hint="eastAsia" w:ascii="仿宋_GB2312" w:hAnsi="微软雅黑" w:eastAsia="仿宋_GB2312" w:cs="仿宋_GB2312"/>
          <w:b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1.分职业中类企业从业人员工资价位（2024年）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1580" w:firstLineChars="500"/>
        <w:jc w:val="both"/>
        <w:textAlignment w:val="auto"/>
        <w:rPr>
          <w:rFonts w:hint="eastAsia" w:ascii="仿宋_GB2312" w:hAnsi="微软雅黑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微软雅黑" w:eastAsia="仿宋_GB2312" w:cs="仿宋_GB2312"/>
          <w:b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2.数字职业企业从业人员工资价位（2024年）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1580" w:firstLineChars="500"/>
        <w:jc w:val="both"/>
        <w:textAlignment w:val="auto"/>
        <w:rPr>
          <w:rFonts w:hint="eastAsia" w:ascii="仿宋_GB2312" w:hAnsi="微软雅黑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微软雅黑" w:eastAsia="仿宋_GB2312" w:cs="仿宋_GB2312"/>
          <w:b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3.分岗位等级企业从业人员工资价位（2024年）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eastAsia" w:ascii="Tahoma" w:hAnsi="Tahoma" w:eastAsia="微软雅黑" w:cs="Times New Roman"/>
          <w:color w:val="auto"/>
          <w:sz w:val="32"/>
          <w:szCs w:val="32"/>
        </w:rPr>
      </w:pPr>
      <w:r>
        <w:rPr>
          <w:rFonts w:hint="eastAsia" w:ascii="Tahoma" w:hAnsi="Tahoma" w:eastAsia="微软雅黑" w:cs="Times New Roman"/>
          <w:snapToGrid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left"/>
        <w:textAlignment w:val="auto"/>
        <w:rPr>
          <w:rFonts w:hint="eastAsia" w:ascii="Tahoma" w:hAnsi="Tahoma" w:eastAsia="微软雅黑" w:cs="Times New Roman"/>
          <w:color w:val="auto"/>
          <w:sz w:val="32"/>
          <w:szCs w:val="32"/>
        </w:rPr>
      </w:pPr>
      <w:r>
        <w:rPr>
          <w:rFonts w:hint="eastAsia" w:ascii="Tahoma" w:hAnsi="Tahoma" w:eastAsia="微软雅黑" w:cs="Times New Roman"/>
          <w:snapToGrid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3792" w:firstLineChars="1200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山东省人力资源和社会保障厅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3792" w:firstLineChars="1200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15</w:t>
      </w: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（此件主动公开）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ahoma" w:eastAsia="仿宋_GB2312" w:cs="仿宋_GB2312"/>
          <w:snapToGrid/>
          <w:color w:val="auto"/>
          <w:kern w:val="0"/>
          <w:sz w:val="32"/>
          <w:szCs w:val="32"/>
          <w:lang w:val="en-US" w:eastAsia="zh-CN" w:bidi="ar"/>
        </w:rPr>
        <w:t>（联系单位：劳动关系处）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eastAsia="zh-CN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1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分职业中类企业从业人员工资价位</w:t>
      </w:r>
      <w:r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  <w:t>（2024年）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单位：万元/年</w:t>
      </w:r>
    </w:p>
    <w:tbl>
      <w:tblPr>
        <w:tblStyle w:val="12"/>
        <w:tblW w:w="887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679"/>
        <w:gridCol w:w="4701"/>
        <w:gridCol w:w="696"/>
        <w:gridCol w:w="696"/>
        <w:gridCol w:w="696"/>
        <w:gridCol w:w="696"/>
        <w:gridCol w:w="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283" w:hRule="atLeast"/>
          <w:tblHeader/>
          <w:jc w:val="center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职业中类名称</w:t>
            </w:r>
          </w:p>
        </w:tc>
        <w:tc>
          <w:tcPr>
            <w:tcW w:w="34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企业单位负责人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22.45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科学研究人员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15.85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农业技术人员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卫生专业技术人员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经济和金融专业人员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14.66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监察、法律、社会和宗教专业人员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教学人员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文学艺术、体育专业人员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新闻出版、文化专业人员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行政办事及辅助人员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安全和消防及辅助人员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批发与零售服务人员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交通运输、仓储物流和邮政业服务人员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住宿和餐饮服务人员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信息传输、软件和信息技术服务人员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金融服务人员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17.56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房地产服务人员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租赁和商务服务人员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技术辅助服务人员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10.62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水利、环境和公共设施管理服务人员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居民服务人员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电力、燃气及水供应服务人员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修理及制作服务人员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文化和教育服务人员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健康、体育和休闲服务人员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5.87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8.12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其他社会生产服务和生活服务人员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9.11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10.86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11.99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13.51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畜牧业生产人员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渔业生产人员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农、林、牧、渔业生产辅助人员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农副产品加工人员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食品、饮料生产加工人员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纺织、针织、印染人员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纺织品、服装和皮革、毛皮制品加工制作人员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木材加工、家具与木制品制作人员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纸及纸制品生产加工人员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印刷和记录媒介复制人员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文教、工美、体育和娱乐用品制造人员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石油加工和炼焦、煤化工生产人员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化学原料和化学制品制造人员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医药制造人员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11.13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橡胶和塑料制品制造人员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非金属矿物制品制造人员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6.97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金属冶炼和压延加工人员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机械制造基础加工人员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通用设备制造人员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专用设备制造人员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电气机械和器材制造人员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9.12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计算机、通信和其他电子设备制造人员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仪器仪表制造人员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电力、热力、气体、水生产和输配人员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10.44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15.96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运输设备和通用工程机械操作人员及有关人员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11.30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16.09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10.66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其他生产制造及有关人员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7.03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10.55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8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12" w:firstLineChars="20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本调查所称“企业单位负责人”是指在企业中担任领导职务并具有决策和管理职权的各级负责人，既包括企业执行董事、监事等高层负责人，也包括企业内设部门或分支机构经理等中、基层负责人；所称“教学人员”是指在企业中从事各级各类教育工作的专业人员。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数字职业企业从业人员工资价位</w:t>
      </w:r>
      <w:r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  <w:t>（2024年）</w:t>
      </w:r>
    </w:p>
    <w:p>
      <w:pPr>
        <w:tabs>
          <w:tab w:val="left" w:pos="6477"/>
          <w:tab w:val="right" w:pos="8964"/>
        </w:tabs>
        <w:wordWrap w:val="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>
      <w:pPr>
        <w:tabs>
          <w:tab w:val="left" w:pos="6477"/>
          <w:tab w:val="right" w:pos="8964"/>
        </w:tabs>
        <w:wordWrap w:val="0"/>
        <w:jc w:val="left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单位：万元/年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tbl>
      <w:tblPr>
        <w:tblStyle w:val="12"/>
        <w:tblW w:w="887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679"/>
        <w:gridCol w:w="4701"/>
        <w:gridCol w:w="696"/>
        <w:gridCol w:w="696"/>
        <w:gridCol w:w="696"/>
        <w:gridCol w:w="696"/>
        <w:gridCol w:w="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数字职业名称</w:t>
            </w:r>
          </w:p>
        </w:tc>
        <w:tc>
          <w:tcPr>
            <w:tcW w:w="34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地球物理地球化学与遥感勘查工程技术人员L/S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11.56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工程测量工程技术人员S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18.52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摄影测量与遥感工程技术人员L/S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自动控制工程技术人员S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14.83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通信工程技术人员S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17.89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计算机软件工程技术人员S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13.12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计算机网络工程技术人员S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嵌入式系统设计工程技术人员S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19.87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信息安全工程技术人员S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16.45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信息系统运行维护工程技术人员S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10.46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广播电视传输覆盖工程技术人员S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工程勘察与岩土工程技术人员S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物流工程技术人员L/S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信息管理工程技术人员S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工业设计工程技术人员S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8.39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17.51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19.86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25.98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大数据工程技术人员S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14.83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18.33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云计算工程技术人员S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20.71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智能制造工程技术人员S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22.60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集成电路工程技术人员S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19.25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数字化管理师S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14.62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网络编辑S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7.81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供应链管理师S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信息通信网络机务员S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17.73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无线电监测与设备运维员S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信息通信网络运行管理员S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网络与信息安全管理员S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计算机软件测试员S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智能楼宇管理员S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工程测量员S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11.51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化工总控工S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11.56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6" w:firstLineChars="10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*数字职业标识为S，既是绿色职业又是数字职业的标识为L/S。</w:t>
            </w:r>
          </w:p>
        </w:tc>
      </w:tr>
    </w:tbl>
    <w:p>
      <w:pP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br w:type="page"/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分岗位等级企业从业人员工资价位</w:t>
      </w:r>
      <w:r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  <w:t>（2024年）</w:t>
      </w:r>
    </w:p>
    <w:p>
      <w:pPr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jc w:val="center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单位：万元/年</w:t>
      </w:r>
    </w:p>
    <w:tbl>
      <w:tblPr>
        <w:tblStyle w:val="12"/>
        <w:tblW w:w="865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2500"/>
        <w:gridCol w:w="990"/>
        <w:gridCol w:w="991"/>
        <w:gridCol w:w="991"/>
        <w:gridCol w:w="991"/>
        <w:gridCol w:w="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4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 位 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管理类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高层管理岗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26.54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中层管理岗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11.33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21.25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基层管理岗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12.62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管理类员工岗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12.03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正高级职称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18.84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26.03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副高级职称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11.58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24.80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11.61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7.92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12.77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没有取得专业技术职称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7.94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技能类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高级工及以上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10.85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15.39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6.55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9.99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14.15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06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初级工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6.53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9.87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6" w:firstLineChars="1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没有取得资格证书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76" w:firstLineChars="1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（职业技能等级证书）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5.38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9.34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附注：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1.主要统计指标解释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分位值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指将数据由低到高排序，在数列中处于相应百分比位置的数据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它表示有相应比例的数据低于或等于该数值。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企业从业人员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指在本企业工作并取得劳动报酬的人员。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工资价位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指企业从业人员在报告期内的工资水平，包括基本工资、奖金、津贴和补贴、加班加点工资和特殊情况下支付的工资等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它在一定程度上体现了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人力资源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市场价格水平。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职业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指从业人员为获取主要生活来源所从事的社会工作类别。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管理类岗位等级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指在管理岗位工作的人员在本企业岗位序列中的层级位置，包括高层管理岗、中层管理岗、基层管理岗和管理类员工岗。其中，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高层管理岗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是指处于企业最高领导层的岗位，包括董事长、总经理及副职等同级别的高层负责人；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中层管理岗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是指在企业一级部门或内设机构处于领导层的岗位，包括人力资源部门负责人、研发部门负责人等部门主要负责人及副职等同级别的中层负责人；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基层管理岗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是指在企业二级及以下部门或机构处于领导层的岗位，包括二级及以下部门/机构主要负责人及副职等同级别的基层负责人；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管理类员工岗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是指处于企业管理执行层的普通员工岗位。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技术类岗位等级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指获得国家或专业评审机构认可的专业技术职称等级，包括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正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高级职称、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副高级职称、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中级职称、初级职称。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技能类岗位等级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指按国家职业技能标准或行业企业评价规范设置的职业技能等级，包括高级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及以上、中级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工、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初级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2.调查方法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调查以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全省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为总体，采用分层PPS抽样方法，以地区和行业门类为层，层内样本按照与企业从业人员人数成比例的概率抽取。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各地区按照统一的制度方法组织收集被调查企业人工成本、从业人员工资报酬等数据，使用统一的信息系统对数据进行录入、审核，然后进行统一汇总计算。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3.职业划分标准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2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年度调查职业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按《中华人民共和国职业分类大典（20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年版）》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的职业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划分。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其中，数字职业按照大典标识的数字职业（标识为S）界定。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16" w:leftChars="100" w:right="316" w:rightChars="100" w:firstLine="0" w:firstLineChars="0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61594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2pt;height:0pt;width:442.2pt;z-index:251661312;mso-width-relative:page;mso-height-relative:page;" filled="f" stroked="t" coordsize="21600,21600" o:gfxdata="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9QLlNQAAAAEAQAADwAA&#10;AAAAAAABACAAAAAiAAAAZHJzL2Rvd25yZXYueG1sUEsBAhQAFAAAAAgAh07iQNogeLThAQAApQMA&#10;AA4AAAAAAAAAAQAgAAAAIwEAAGRycy9lMm9Eb2MueG1sUEsFBgAAAAAGAAYAWQEAAHY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山东省人力资源和社会保障厅办公室 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202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28"/>
          <w:szCs w:val="28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16" w:firstLineChars="100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>
                <wp:simplePos x="0" y="0"/>
                <wp:positionH relativeFrom="column">
                  <wp:posOffset>0</wp:posOffset>
                </wp:positionH>
                <wp:positionV relativeFrom="paragraph">
                  <wp:posOffset>349250</wp:posOffset>
                </wp:positionV>
                <wp:extent cx="5615940" cy="0"/>
                <wp:effectExtent l="0" t="7620" r="0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7.5pt;height:0pt;width:442.2pt;z-index:251662336;mso-width-relative:page;mso-height-relative:page;" filled="f" stroked="t" coordsize="21600,21600" o:allowoverlap="f" o:gfxdata="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WvgoWNYAAAAGAQAADwAA&#10;AAAAAAABACAAAAAiAAAAZHJzL2Rvd25yZXYueG1sUEsBAhQAFAAAAAgAh07iQDXJs/nfAQAApQMA&#10;AA4AAAAAAAAAAQAgAAAAJQEAAGRycy9lMm9Eb2MueG1sUEsFBgAAAAAGAAYAWQEAAHY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-1270</wp:posOffset>
                </wp:positionV>
                <wp:extent cx="561594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-0.1pt;height:0pt;width:442.2pt;mso-position-horizontal:center;z-index:251660288;mso-width-relative:page;mso-height-relative:page;" filled="f" stroked="t" coordsize="21600,21600" o:gfxdata="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p8lhHRAAAABAEAAA8AAAAAAAAA&#10;AQAgAAAAIgAAAGRycy9kb3ducmV2LnhtbFBLAQIUABQAAAAIAIdO4kBOeOPV3wEAAKQDAAAOAAAA&#10;AAAAAAEAIAAAACABAABkcnMvZTJvRG9jLnhtbFBLBQYAAAAABgAGAFkBAABx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>校核人：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解立峰</w:t>
      </w:r>
      <w:r>
        <w:rPr>
          <w:rFonts w:hint="eastAsia" w:ascii="仿宋_GB2312" w:eastAsia="仿宋_GB2312"/>
          <w:color w:val="auto"/>
          <w:sz w:val="28"/>
          <w:szCs w:val="28"/>
        </w:rPr>
        <w:tab/>
      </w:r>
    </w:p>
    <w:bookmarkEnd w:id="0"/>
    <w:sectPr>
      <w:footerReference r:id="rId3" w:type="default"/>
      <w:pgSz w:w="11906" w:h="16838"/>
      <w:pgMar w:top="2098" w:right="1531" w:bottom="1814" w:left="1531" w:header="851" w:footer="1587" w:gutter="0"/>
      <w:paperSrc/>
      <w:pgNumType w:fmt="decimal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0287" w:usb1="00000000" w:usb2="00000000" w:usb3="00000000" w:csb0="4000009F" w:csb1="DFD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0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58"/>
  <w:drawingGridVerticalSpacing w:val="294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NjI3MDk4MTg1M2JmZTJhNDhhMDUxMWMwODNkNmYifQ=="/>
  </w:docVars>
  <w:rsids>
    <w:rsidRoot w:val="000B7522"/>
    <w:rsid w:val="000B730A"/>
    <w:rsid w:val="000B7522"/>
    <w:rsid w:val="001472E3"/>
    <w:rsid w:val="00162F91"/>
    <w:rsid w:val="002E6345"/>
    <w:rsid w:val="00323B43"/>
    <w:rsid w:val="0032640F"/>
    <w:rsid w:val="003D37D8"/>
    <w:rsid w:val="004358AB"/>
    <w:rsid w:val="00573652"/>
    <w:rsid w:val="00612345"/>
    <w:rsid w:val="00753EFB"/>
    <w:rsid w:val="008B7726"/>
    <w:rsid w:val="009435B5"/>
    <w:rsid w:val="00AC3CB0"/>
    <w:rsid w:val="00F07D69"/>
    <w:rsid w:val="02F26385"/>
    <w:rsid w:val="02FA4E34"/>
    <w:rsid w:val="034255E7"/>
    <w:rsid w:val="03F4678E"/>
    <w:rsid w:val="06B60FF6"/>
    <w:rsid w:val="071A259A"/>
    <w:rsid w:val="08DF52A0"/>
    <w:rsid w:val="092972F5"/>
    <w:rsid w:val="09A772E0"/>
    <w:rsid w:val="0A031B99"/>
    <w:rsid w:val="0AE14C46"/>
    <w:rsid w:val="0BF625BA"/>
    <w:rsid w:val="0C2A78BB"/>
    <w:rsid w:val="0D8B3D6A"/>
    <w:rsid w:val="0E3F79E3"/>
    <w:rsid w:val="0ED63D14"/>
    <w:rsid w:val="0F687CA3"/>
    <w:rsid w:val="10855EE2"/>
    <w:rsid w:val="11286DAA"/>
    <w:rsid w:val="11471B7D"/>
    <w:rsid w:val="11AD2FA3"/>
    <w:rsid w:val="121F6E9A"/>
    <w:rsid w:val="144538CC"/>
    <w:rsid w:val="14FD71B4"/>
    <w:rsid w:val="1566596A"/>
    <w:rsid w:val="15FF3915"/>
    <w:rsid w:val="16D64B73"/>
    <w:rsid w:val="18660528"/>
    <w:rsid w:val="198D0627"/>
    <w:rsid w:val="1A5A6656"/>
    <w:rsid w:val="1C00148A"/>
    <w:rsid w:val="1CF509A7"/>
    <w:rsid w:val="206F158C"/>
    <w:rsid w:val="20C907F2"/>
    <w:rsid w:val="217A1665"/>
    <w:rsid w:val="21E06620"/>
    <w:rsid w:val="22EA64F5"/>
    <w:rsid w:val="26101CB6"/>
    <w:rsid w:val="29575315"/>
    <w:rsid w:val="296B5223"/>
    <w:rsid w:val="298A5FEB"/>
    <w:rsid w:val="2B3F4171"/>
    <w:rsid w:val="2B8A00F2"/>
    <w:rsid w:val="2C66774D"/>
    <w:rsid w:val="2D7D710F"/>
    <w:rsid w:val="2E5C7D28"/>
    <w:rsid w:val="2E746A62"/>
    <w:rsid w:val="2FE6F5A1"/>
    <w:rsid w:val="31883570"/>
    <w:rsid w:val="36592E6B"/>
    <w:rsid w:val="368B21C8"/>
    <w:rsid w:val="374266FE"/>
    <w:rsid w:val="381350B1"/>
    <w:rsid w:val="38871163"/>
    <w:rsid w:val="39564727"/>
    <w:rsid w:val="3A8D3AFE"/>
    <w:rsid w:val="3AE504B9"/>
    <w:rsid w:val="3C4458BF"/>
    <w:rsid w:val="3E362152"/>
    <w:rsid w:val="3ECD4801"/>
    <w:rsid w:val="3ECF1281"/>
    <w:rsid w:val="40656440"/>
    <w:rsid w:val="448147EB"/>
    <w:rsid w:val="454C7386"/>
    <w:rsid w:val="45AC3208"/>
    <w:rsid w:val="46497798"/>
    <w:rsid w:val="470F047B"/>
    <w:rsid w:val="47671D8C"/>
    <w:rsid w:val="47772434"/>
    <w:rsid w:val="4818200F"/>
    <w:rsid w:val="48664D25"/>
    <w:rsid w:val="490851A5"/>
    <w:rsid w:val="4A9A05CD"/>
    <w:rsid w:val="4B0059CC"/>
    <w:rsid w:val="4DFA4F71"/>
    <w:rsid w:val="4EBF333D"/>
    <w:rsid w:val="52453F5D"/>
    <w:rsid w:val="527F0729"/>
    <w:rsid w:val="52964A40"/>
    <w:rsid w:val="549E28D9"/>
    <w:rsid w:val="55F522D4"/>
    <w:rsid w:val="568F01FC"/>
    <w:rsid w:val="57625DC6"/>
    <w:rsid w:val="59333514"/>
    <w:rsid w:val="5BEF5A21"/>
    <w:rsid w:val="5C182DAE"/>
    <w:rsid w:val="5EFD3ACC"/>
    <w:rsid w:val="600C463B"/>
    <w:rsid w:val="607C3BF4"/>
    <w:rsid w:val="60EA25B7"/>
    <w:rsid w:val="61083809"/>
    <w:rsid w:val="61812BD4"/>
    <w:rsid w:val="624133B9"/>
    <w:rsid w:val="63762D23"/>
    <w:rsid w:val="63BF3F8B"/>
    <w:rsid w:val="661C5A99"/>
    <w:rsid w:val="66452398"/>
    <w:rsid w:val="66AA0E02"/>
    <w:rsid w:val="683F6A41"/>
    <w:rsid w:val="69815290"/>
    <w:rsid w:val="6A6651C4"/>
    <w:rsid w:val="6BCC55E2"/>
    <w:rsid w:val="6C2412CF"/>
    <w:rsid w:val="6C3F4320"/>
    <w:rsid w:val="6C8C4CF2"/>
    <w:rsid w:val="6D9201BC"/>
    <w:rsid w:val="6EBC23DE"/>
    <w:rsid w:val="6F5F10DB"/>
    <w:rsid w:val="6FFCF045"/>
    <w:rsid w:val="704D473A"/>
    <w:rsid w:val="71CE1A02"/>
    <w:rsid w:val="728E6FE3"/>
    <w:rsid w:val="732C318D"/>
    <w:rsid w:val="74EB48BF"/>
    <w:rsid w:val="75053AC2"/>
    <w:rsid w:val="75B12FEE"/>
    <w:rsid w:val="76631A64"/>
    <w:rsid w:val="76772B7B"/>
    <w:rsid w:val="76E50D4B"/>
    <w:rsid w:val="779667DF"/>
    <w:rsid w:val="77E71658"/>
    <w:rsid w:val="79B26EA8"/>
    <w:rsid w:val="7A560998"/>
    <w:rsid w:val="7A852984"/>
    <w:rsid w:val="7C7E6EFD"/>
    <w:rsid w:val="7D103757"/>
    <w:rsid w:val="7D4B2BE4"/>
    <w:rsid w:val="7E2E2E5B"/>
    <w:rsid w:val="7E6A2362"/>
    <w:rsid w:val="7FDF3AE7"/>
    <w:rsid w:val="D71D48C8"/>
    <w:rsid w:val="FDAF8A59"/>
    <w:rsid w:val="FEFEDAA9"/>
    <w:rsid w:val="FF6EA9EB"/>
    <w:rsid w:val="FF86D01D"/>
    <w:rsid w:val="FF9EA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line="240" w:lineRule="auto"/>
    </w:pPr>
    <w:rPr>
      <w:rFonts w:ascii="Tahoma" w:hAnsi="Tahoma" w:eastAsia="微软雅黑" w:cstheme="minorBidi"/>
      <w:sz w:val="32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snapToGrid w:val="0"/>
      <w:spacing w:beforeLines="50" w:afterLines="50"/>
      <w:outlineLvl w:val="2"/>
    </w:pPr>
    <w:rPr>
      <w:rFonts w:hint="eastAsia" w:ascii="宋体" w:hAnsi="宋体" w:eastAsia="宋体"/>
      <w:b/>
      <w:kern w:val="0"/>
      <w:sz w:val="20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9"/>
    <w:qFormat/>
    <w:uiPriority w:val="0"/>
    <w:pPr>
      <w:spacing w:after="120" w:afterLines="0" w:line="240" w:lineRule="auto"/>
      <w:ind w:firstLine="0" w:firstLineChars="0"/>
    </w:pPr>
    <w:rPr>
      <w:rFonts w:ascii="Times New Roman" w:hAnsi="Times New Roman"/>
      <w:color w:val="auto"/>
      <w:szCs w:val="20"/>
    </w:rPr>
  </w:style>
  <w:style w:type="paragraph" w:styleId="3">
    <w:name w:val="toc 5"/>
    <w:basedOn w:val="1"/>
    <w:next w:val="1"/>
    <w:unhideWhenUsed/>
    <w:qFormat/>
    <w:uiPriority w:val="39"/>
    <w:pPr>
      <w:ind w:left="1680"/>
    </w:pPr>
  </w:style>
  <w:style w:type="paragraph" w:styleId="5">
    <w:name w:val="Normal Indent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basedOn w:val="10"/>
    <w:qFormat/>
    <w:uiPriority w:val="0"/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页眉 Char"/>
    <w:basedOn w:val="10"/>
    <w:link w:val="8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0"/>
    <w:link w:val="7"/>
    <w:qFormat/>
    <w:uiPriority w:val="99"/>
    <w:rPr>
      <w:rFonts w:ascii="Tahoma" w:hAnsi="Tahoma"/>
      <w:sz w:val="18"/>
      <w:szCs w:val="18"/>
    </w:rPr>
  </w:style>
  <w:style w:type="paragraph" w:customStyle="1" w:styleId="16">
    <w:name w:val="List Paragraph"/>
    <w:basedOn w:val="1"/>
    <w:qFormat/>
    <w:uiPriority w:val="0"/>
    <w:pPr>
      <w:ind w:firstLine="420" w:firstLineChars="200"/>
    </w:pPr>
  </w:style>
  <w:style w:type="character" w:customStyle="1" w:styleId="17">
    <w:name w:val="font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11"/>
    <w:basedOn w:val="10"/>
    <w:qFormat/>
    <w:uiPriority w:val="0"/>
    <w:rPr>
      <w:rFonts w:ascii="仿宋_GB2312" w:eastAsia="仿宋_GB2312" w:cs="仿宋_GB2312"/>
      <w:b/>
      <w:color w:val="000000"/>
      <w:sz w:val="20"/>
      <w:szCs w:val="20"/>
      <w:u w:val="none"/>
    </w:rPr>
  </w:style>
  <w:style w:type="character" w:customStyle="1" w:styleId="19">
    <w:name w:val="正文文本 Char"/>
    <w:basedOn w:val="10"/>
    <w:link w:val="2"/>
    <w:unhideWhenUsed/>
    <w:qFormat/>
    <w:locked/>
    <w:uiPriority w:val="99"/>
    <w:rPr>
      <w:rFonts w:ascii="Times New Roman" w:hAnsi="Times New Roman"/>
      <w:color w:val="auto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4170</Words>
  <Characters>5644</Characters>
  <Lines>1</Lines>
  <Paragraphs>1</Paragraphs>
  <ScaleCrop>false</ScaleCrop>
  <LinksUpToDate>false</LinksUpToDate>
  <CharactersWithSpaces>6083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2019-07-16T01:36:00Z</dcterms:created>
  <dc:creator>Administrator</dc:creator>
  <cp:lastModifiedBy>LTGX04</cp:lastModifiedBy>
  <cp:lastPrinted>2025-09-12T08:49:00Z</cp:lastPrinted>
  <dcterms:modified xsi:type="dcterms:W3CDTF">2025-10-15T07:47:28Z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0AD375E00DAD4BBEA7B932A7C104F875_13</vt:lpwstr>
  </property>
</Properties>
</file>