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E0786">
      <w:pPr>
        <w:keepNext w:val="0"/>
        <w:keepLines w:val="0"/>
        <w:pageBreakBefore w:val="0"/>
        <w:widowControl w:val="0"/>
        <w:kinsoku/>
        <w:wordWrap/>
        <w:overflowPunct/>
        <w:topLinePunct w:val="0"/>
        <w:autoSpaceDE/>
        <w:autoSpaceDN/>
        <w:bidi w:val="0"/>
        <w:adjustRightInd/>
        <w:snapToGrid/>
        <w:spacing w:line="560" w:lineRule="exact"/>
        <w:ind w:leftChars="0"/>
        <w:jc w:val="both"/>
        <w:textAlignment w:val="auto"/>
        <w:rPr>
          <w:rFonts w:ascii="仿宋_GB2312" w:hAnsi="仿宋_GB2312" w:eastAsia="仿宋_GB2312" w:cs="仿宋_GB2312"/>
          <w:color w:val="auto"/>
        </w:rPr>
      </w:pPr>
    </w:p>
    <w:p w14:paraId="3A52D05C">
      <w:pPr>
        <w:keepNext w:val="0"/>
        <w:keepLines w:val="0"/>
        <w:pageBreakBefore w:val="0"/>
        <w:widowControl w:val="0"/>
        <w:kinsoku/>
        <w:wordWrap/>
        <w:overflowPunct/>
        <w:topLinePunct w:val="0"/>
        <w:autoSpaceDE/>
        <w:autoSpaceDN/>
        <w:bidi w:val="0"/>
        <w:adjustRightInd/>
        <w:snapToGrid/>
        <w:spacing w:line="560" w:lineRule="exact"/>
        <w:ind w:leftChars="0"/>
        <w:jc w:val="both"/>
        <w:textAlignment w:val="auto"/>
        <w:rPr>
          <w:rFonts w:ascii="仿宋_GB2312" w:hAnsi="仿宋_GB2312" w:eastAsia="仿宋_GB2312" w:cs="仿宋_GB2312"/>
          <w:color w:val="auto"/>
        </w:rPr>
      </w:pPr>
    </w:p>
    <w:p w14:paraId="00F01E99">
      <w:pPr>
        <w:keepNext w:val="0"/>
        <w:keepLines w:val="0"/>
        <w:pageBreakBefore w:val="0"/>
        <w:widowControl w:val="0"/>
        <w:kinsoku/>
        <w:wordWrap/>
        <w:overflowPunct/>
        <w:topLinePunct w:val="0"/>
        <w:autoSpaceDE/>
        <w:autoSpaceDN/>
        <w:bidi w:val="0"/>
        <w:adjustRightInd/>
        <w:snapToGrid/>
        <w:spacing w:line="560" w:lineRule="exact"/>
        <w:ind w:leftChars="0"/>
        <w:jc w:val="both"/>
        <w:textAlignment w:val="auto"/>
        <w:rPr>
          <w:rFonts w:ascii="仿宋_GB2312" w:hAnsi="仿宋_GB2312" w:eastAsia="仿宋_GB2312" w:cs="仿宋_GB2312"/>
          <w:color w:val="auto"/>
        </w:rPr>
      </w:pPr>
    </w:p>
    <w:p w14:paraId="753FDB69">
      <w:pPr>
        <w:keepNext w:val="0"/>
        <w:keepLines w:val="0"/>
        <w:pageBreakBefore w:val="0"/>
        <w:widowControl w:val="0"/>
        <w:kinsoku/>
        <w:wordWrap/>
        <w:overflowPunct/>
        <w:topLinePunct w:val="0"/>
        <w:autoSpaceDE/>
        <w:autoSpaceDN/>
        <w:bidi w:val="0"/>
        <w:adjustRightInd/>
        <w:snapToGrid/>
        <w:spacing w:line="560" w:lineRule="exact"/>
        <w:ind w:leftChars="0"/>
        <w:jc w:val="both"/>
        <w:textAlignment w:val="auto"/>
        <w:rPr>
          <w:rFonts w:ascii="仿宋_GB2312" w:hAnsi="仿宋_GB2312" w:eastAsia="仿宋_GB2312" w:cs="仿宋_GB2312"/>
          <w:color w:val="auto"/>
        </w:rPr>
      </w:pPr>
    </w:p>
    <w:p w14:paraId="333523F1">
      <w:pPr>
        <w:keepNext w:val="0"/>
        <w:keepLines w:val="0"/>
        <w:pageBreakBefore w:val="0"/>
        <w:widowControl w:val="0"/>
        <w:kinsoku/>
        <w:wordWrap/>
        <w:overflowPunct/>
        <w:topLinePunct w:val="0"/>
        <w:autoSpaceDE/>
        <w:autoSpaceDN/>
        <w:bidi w:val="0"/>
        <w:adjustRightInd/>
        <w:snapToGrid/>
        <w:spacing w:line="560" w:lineRule="exact"/>
        <w:ind w:leftChars="0"/>
        <w:jc w:val="both"/>
        <w:textAlignment w:val="auto"/>
        <w:rPr>
          <w:rFonts w:ascii="仿宋_GB2312" w:hAnsi="仿宋_GB2312" w:eastAsia="仿宋_GB2312" w:cs="仿宋_GB2312"/>
          <w:color w:val="auto"/>
        </w:rPr>
      </w:pPr>
    </w:p>
    <w:p w14:paraId="50163A20">
      <w:pPr>
        <w:keepNext w:val="0"/>
        <w:keepLines w:val="0"/>
        <w:pageBreakBefore w:val="0"/>
        <w:widowControl w:val="0"/>
        <w:kinsoku/>
        <w:wordWrap/>
        <w:overflowPunct/>
        <w:topLinePunct w:val="0"/>
        <w:autoSpaceDE/>
        <w:autoSpaceDN/>
        <w:bidi w:val="0"/>
        <w:adjustRightInd/>
        <w:snapToGrid/>
        <w:spacing w:line="560" w:lineRule="exact"/>
        <w:ind w:leftChars="0"/>
        <w:jc w:val="both"/>
        <w:textAlignment w:val="auto"/>
        <w:rPr>
          <w:rFonts w:ascii="仿宋_GB2312" w:hAnsi="仿宋_GB2312" w:eastAsia="仿宋_GB2312" w:cs="仿宋_GB2312"/>
          <w:color w:val="auto"/>
        </w:rPr>
      </w:pPr>
    </w:p>
    <w:p w14:paraId="5B6DFB08">
      <w:pPr>
        <w:keepNext w:val="0"/>
        <w:keepLines w:val="0"/>
        <w:pageBreakBefore w:val="0"/>
        <w:widowControl w:val="0"/>
        <w:kinsoku/>
        <w:wordWrap/>
        <w:overflowPunct/>
        <w:topLinePunct w:val="0"/>
        <w:autoSpaceDE/>
        <w:autoSpaceDN/>
        <w:bidi w:val="0"/>
        <w:adjustRightInd/>
        <w:snapToGrid/>
        <w:spacing w:line="560" w:lineRule="exact"/>
        <w:ind w:leftChars="0"/>
        <w:jc w:val="both"/>
        <w:textAlignment w:val="auto"/>
        <w:rPr>
          <w:rFonts w:ascii="仿宋_GB2312" w:hAnsi="仿宋_GB2312" w:eastAsia="仿宋_GB2312" w:cs="仿宋_GB2312"/>
          <w:color w:val="auto"/>
        </w:rPr>
      </w:pPr>
    </w:p>
    <w:p w14:paraId="46CC6DB2">
      <w:pPr>
        <w:keepNext w:val="0"/>
        <w:keepLines w:val="0"/>
        <w:pageBreakBefore w:val="0"/>
        <w:widowControl w:val="0"/>
        <w:kinsoku/>
        <w:wordWrap/>
        <w:overflowPunct/>
        <w:topLinePunct w:val="0"/>
        <w:autoSpaceDE/>
        <w:autoSpaceDN/>
        <w:bidi w:val="0"/>
        <w:adjustRightInd/>
        <w:snapToGrid/>
        <w:spacing w:line="560" w:lineRule="exact"/>
        <w:ind w:leftChars="0"/>
        <w:jc w:val="both"/>
        <w:textAlignment w:val="auto"/>
        <w:rPr>
          <w:rFonts w:ascii="仿宋_GB2312" w:hAnsi="仿宋_GB2312" w:eastAsia="仿宋_GB2312" w:cs="仿宋_GB2312"/>
          <w:color w:val="auto"/>
        </w:rPr>
      </w:pPr>
    </w:p>
    <w:p w14:paraId="4EB6598F">
      <w:pPr>
        <w:keepNext w:val="0"/>
        <w:keepLines w:val="0"/>
        <w:pageBreakBefore w:val="0"/>
        <w:widowControl w:val="0"/>
        <w:kinsoku/>
        <w:wordWrap/>
        <w:overflowPunct/>
        <w:topLinePunct w:val="0"/>
        <w:autoSpaceDE/>
        <w:autoSpaceDN/>
        <w:bidi w:val="0"/>
        <w:adjustRightInd/>
        <w:snapToGrid/>
        <w:spacing w:line="560" w:lineRule="exact"/>
        <w:ind w:leftChars="0"/>
        <w:jc w:val="both"/>
        <w:textAlignment w:val="auto"/>
        <w:rPr>
          <w:rFonts w:ascii="仿宋_GB2312" w:hAnsi="仿宋_GB2312" w:eastAsia="仿宋_GB2312" w:cs="仿宋_GB2312"/>
          <w:color w:val="auto"/>
        </w:rPr>
      </w:pPr>
    </w:p>
    <w:p w14:paraId="1FF346D0">
      <w:pPr>
        <w:keepNext w:val="0"/>
        <w:keepLines w:val="0"/>
        <w:pageBreakBefore w:val="0"/>
        <w:widowControl w:val="0"/>
        <w:kinsoku/>
        <w:wordWrap/>
        <w:overflowPunct/>
        <w:topLinePunct w:val="0"/>
        <w:autoSpaceDE/>
        <w:autoSpaceDN/>
        <w:bidi w:val="0"/>
        <w:adjustRightInd/>
        <w:snapToGrid/>
        <w:spacing w:line="560" w:lineRule="exact"/>
        <w:ind w:leftChars="0" w:firstLine="632" w:firstLineChars="200"/>
        <w:jc w:val="right"/>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鲁人社函〔2025〕95号</w:t>
      </w:r>
    </w:p>
    <w:p w14:paraId="679C573C">
      <w:pPr>
        <w:keepNext w:val="0"/>
        <w:keepLines w:val="0"/>
        <w:pageBreakBefore w:val="0"/>
        <w:widowControl w:val="0"/>
        <w:kinsoku/>
        <w:wordWrap/>
        <w:overflowPunct/>
        <w:topLinePunct w:val="0"/>
        <w:autoSpaceDE/>
        <w:autoSpaceDN/>
        <w:bidi w:val="0"/>
        <w:adjustRightInd/>
        <w:snapToGrid/>
        <w:spacing w:line="560" w:lineRule="exact"/>
        <w:ind w:leftChars="0"/>
        <w:jc w:val="both"/>
        <w:textAlignment w:val="auto"/>
        <w:rPr>
          <w:rFonts w:ascii="仿宋_GB2312" w:hAnsi="仿宋_GB2312" w:eastAsia="仿宋_GB2312" w:cs="仿宋_GB2312"/>
          <w:color w:val="auto"/>
        </w:rPr>
      </w:pPr>
    </w:p>
    <w:p w14:paraId="5D8E1417">
      <w:pPr>
        <w:keepNext w:val="0"/>
        <w:keepLines w:val="0"/>
        <w:pageBreakBefore w:val="0"/>
        <w:widowControl w:val="0"/>
        <w:kinsoku/>
        <w:wordWrap/>
        <w:overflowPunct/>
        <w:topLinePunct w:val="0"/>
        <w:autoSpaceDE/>
        <w:autoSpaceDN/>
        <w:bidi w:val="0"/>
        <w:adjustRightInd/>
        <w:snapToGrid/>
        <w:spacing w:line="560" w:lineRule="exact"/>
        <w:ind w:leftChars="0"/>
        <w:jc w:val="center"/>
        <w:textAlignment w:val="auto"/>
        <w:rPr>
          <w:rFonts w:hint="eastAsia" w:ascii="方正小标宋简体" w:hAnsi="黑体" w:eastAsia="方正小标宋简体" w:cs="黑体"/>
          <w:color w:val="auto"/>
          <w:sz w:val="44"/>
          <w:szCs w:val="44"/>
        </w:rPr>
      </w:pPr>
      <w:r>
        <w:rPr>
          <w:rFonts w:hint="eastAsia" w:ascii="方正小标宋简体" w:hAnsi="黑体" w:eastAsia="方正小标宋简体" w:cs="黑体"/>
          <w:color w:val="auto"/>
          <w:sz w:val="44"/>
          <w:szCs w:val="44"/>
          <w:lang w:eastAsia="zh"/>
        </w:rPr>
        <w:t>山东省人力资源和社会保障厅等6部门</w:t>
      </w:r>
      <w:r>
        <w:rPr>
          <w:rFonts w:hint="eastAsia" w:ascii="方正小标宋简体" w:hAnsi="黑体" w:eastAsia="方正小标宋简体" w:cs="黑体"/>
          <w:color w:val="auto"/>
          <w:sz w:val="44"/>
          <w:szCs w:val="44"/>
        </w:rPr>
        <w:t>关于</w:t>
      </w:r>
    </w:p>
    <w:p w14:paraId="1865D2A0">
      <w:pPr>
        <w:keepNext w:val="0"/>
        <w:keepLines w:val="0"/>
        <w:pageBreakBefore w:val="0"/>
        <w:widowControl w:val="0"/>
        <w:kinsoku/>
        <w:wordWrap/>
        <w:overflowPunct/>
        <w:topLinePunct w:val="0"/>
        <w:autoSpaceDE/>
        <w:autoSpaceDN/>
        <w:bidi w:val="0"/>
        <w:adjustRightInd/>
        <w:snapToGrid/>
        <w:spacing w:line="560" w:lineRule="exact"/>
        <w:ind w:leftChars="0"/>
        <w:jc w:val="center"/>
        <w:textAlignment w:val="auto"/>
        <w:rPr>
          <w:rFonts w:hint="eastAsia" w:ascii="方正小标宋简体" w:hAnsi="黑体" w:eastAsia="方正小标宋简体" w:cs="黑体"/>
          <w:color w:val="auto"/>
          <w:sz w:val="44"/>
          <w:szCs w:val="44"/>
        </w:rPr>
      </w:pPr>
      <w:r>
        <w:rPr>
          <w:rFonts w:hint="eastAsia" w:ascii="方正小标宋简体" w:hAnsi="黑体" w:eastAsia="方正小标宋简体" w:cs="黑体"/>
          <w:color w:val="auto"/>
          <w:sz w:val="44"/>
          <w:szCs w:val="44"/>
        </w:rPr>
        <w:t>做好202</w:t>
      </w:r>
      <w:r>
        <w:rPr>
          <w:rFonts w:hint="eastAsia" w:ascii="方正小标宋简体" w:hAnsi="黑体" w:eastAsia="方正小标宋简体" w:cs="黑体"/>
          <w:color w:val="auto"/>
          <w:sz w:val="44"/>
          <w:szCs w:val="44"/>
          <w:lang w:val="en-US" w:eastAsia="zh-CN"/>
        </w:rPr>
        <w:t>6</w:t>
      </w:r>
      <w:r>
        <w:rPr>
          <w:rFonts w:hint="eastAsia" w:ascii="方正小标宋简体" w:hAnsi="黑体" w:eastAsia="方正小标宋简体" w:cs="黑体"/>
          <w:color w:val="auto"/>
          <w:sz w:val="44"/>
          <w:szCs w:val="44"/>
        </w:rPr>
        <w:t>届毕业生</w:t>
      </w:r>
      <w:r>
        <w:rPr>
          <w:rFonts w:hint="eastAsia" w:ascii="方正小标宋简体" w:hAnsi="黑体" w:eastAsia="方正小标宋简体" w:cs="黑体"/>
          <w:color w:val="auto"/>
          <w:sz w:val="44"/>
          <w:szCs w:val="44"/>
          <w:lang w:val="en-US" w:eastAsia="zh-CN"/>
        </w:rPr>
        <w:t>一次性</w:t>
      </w:r>
      <w:r>
        <w:rPr>
          <w:rFonts w:hint="eastAsia" w:ascii="方正小标宋简体" w:hAnsi="黑体" w:eastAsia="方正小标宋简体" w:cs="黑体"/>
          <w:color w:val="auto"/>
          <w:sz w:val="44"/>
          <w:szCs w:val="44"/>
        </w:rPr>
        <w:t>求职补贴审核</w:t>
      </w:r>
    </w:p>
    <w:p w14:paraId="56BD9635">
      <w:pPr>
        <w:keepNext w:val="0"/>
        <w:keepLines w:val="0"/>
        <w:pageBreakBefore w:val="0"/>
        <w:widowControl w:val="0"/>
        <w:kinsoku/>
        <w:wordWrap/>
        <w:overflowPunct/>
        <w:topLinePunct w:val="0"/>
        <w:autoSpaceDE/>
        <w:autoSpaceDN/>
        <w:bidi w:val="0"/>
        <w:adjustRightInd/>
        <w:snapToGrid/>
        <w:spacing w:line="560" w:lineRule="exact"/>
        <w:ind w:leftChars="0"/>
        <w:jc w:val="center"/>
        <w:textAlignment w:val="auto"/>
        <w:rPr>
          <w:rFonts w:ascii="方正小标宋简体" w:hAnsi="黑体" w:eastAsia="方正小标宋简体" w:cs="黑体"/>
          <w:color w:val="auto"/>
          <w:sz w:val="44"/>
          <w:szCs w:val="44"/>
        </w:rPr>
      </w:pPr>
      <w:r>
        <w:rPr>
          <w:rFonts w:hint="eastAsia" w:ascii="方正小标宋简体" w:hAnsi="黑体" w:eastAsia="方正小标宋简体" w:cs="黑体"/>
          <w:color w:val="auto"/>
          <w:sz w:val="44"/>
          <w:szCs w:val="44"/>
        </w:rPr>
        <w:t>发放工作的通知</w:t>
      </w:r>
    </w:p>
    <w:p w14:paraId="16E508C0">
      <w:pPr>
        <w:keepNext w:val="0"/>
        <w:keepLines w:val="0"/>
        <w:pageBreakBefore w:val="0"/>
        <w:widowControl w:val="0"/>
        <w:kinsoku/>
        <w:wordWrap/>
        <w:overflowPunct/>
        <w:topLinePunct w:val="0"/>
        <w:autoSpaceDE/>
        <w:autoSpaceDN/>
        <w:bidi w:val="0"/>
        <w:adjustRightInd/>
        <w:snapToGrid/>
        <w:spacing w:line="560" w:lineRule="exact"/>
        <w:ind w:leftChars="0"/>
        <w:textAlignment w:val="auto"/>
        <w:rPr>
          <w:color w:val="auto"/>
        </w:rPr>
      </w:pPr>
    </w:p>
    <w:p w14:paraId="3032D4E8">
      <w:pPr>
        <w:keepNext w:val="0"/>
        <w:keepLines w:val="0"/>
        <w:pageBreakBefore w:val="0"/>
        <w:widowControl w:val="0"/>
        <w:kinsoku/>
        <w:wordWrap/>
        <w:overflowPunct/>
        <w:topLinePunct w:val="0"/>
        <w:autoSpaceDE/>
        <w:autoSpaceDN/>
        <w:bidi w:val="0"/>
        <w:adjustRightInd/>
        <w:snapToGrid/>
        <w:spacing w:line="560" w:lineRule="exact"/>
        <w:ind w:leftChars="0"/>
        <w:textAlignment w:val="auto"/>
        <w:rPr>
          <w:rFonts w:ascii="仿宋_GB2312" w:hAnsi="仿宋_GB2312" w:eastAsia="仿宋_GB2312" w:cs="仿宋_GB2312"/>
          <w:color w:val="auto"/>
        </w:rPr>
      </w:pPr>
      <w:r>
        <w:rPr>
          <w:rFonts w:hint="eastAsia" w:ascii="仿宋_GB2312" w:hAnsi="仿宋_GB2312" w:eastAsia="仿宋_GB2312" w:cs="仿宋_GB2312"/>
          <w:color w:val="auto"/>
        </w:rPr>
        <w:t>各市人力资源社会保障局、教育（教体）局</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民政局、财政局、</w:t>
      </w:r>
      <w:r>
        <w:rPr>
          <w:rFonts w:hint="eastAsia" w:ascii="仿宋_GB2312" w:hAnsi="仿宋_GB2312" w:eastAsia="仿宋_GB2312" w:cs="仿宋_GB2312"/>
          <w:color w:val="auto"/>
          <w:lang w:eastAsia="zh-CN"/>
        </w:rPr>
        <w:t>农业农村</w:t>
      </w:r>
      <w:r>
        <w:rPr>
          <w:rFonts w:hint="eastAsia" w:ascii="仿宋_GB2312" w:hAnsi="仿宋_GB2312" w:eastAsia="仿宋_GB2312" w:cs="仿宋_GB2312"/>
          <w:color w:val="auto"/>
          <w:lang w:val="en-US" w:eastAsia="zh-CN"/>
        </w:rPr>
        <w:t>局</w:t>
      </w:r>
      <w:r>
        <w:rPr>
          <w:rFonts w:hint="eastAsia" w:ascii="仿宋_GB2312" w:hAnsi="仿宋_GB2312" w:eastAsia="仿宋_GB2312" w:cs="仿宋_GB2312"/>
          <w:color w:val="auto"/>
        </w:rPr>
        <w:t>、残联，各普通高等学校、中等职业学校、技工院校：</w:t>
      </w:r>
    </w:p>
    <w:p w14:paraId="49BD664B">
      <w:pPr>
        <w:keepNext w:val="0"/>
        <w:keepLines w:val="0"/>
        <w:pageBreakBefore w:val="0"/>
        <w:widowControl w:val="0"/>
        <w:kinsoku/>
        <w:wordWrap/>
        <w:overflowPunct/>
        <w:topLinePunct w:val="0"/>
        <w:autoSpaceDE/>
        <w:autoSpaceDN/>
        <w:bidi w:val="0"/>
        <w:adjustRightInd/>
        <w:snapToGrid/>
        <w:spacing w:line="560" w:lineRule="exact"/>
        <w:ind w:leftChars="0" w:firstLine="632"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按照</w:t>
      </w:r>
      <w:r>
        <w:rPr>
          <w:rFonts w:hint="eastAsia" w:ascii="仿宋_GB2312" w:hAnsi="仿宋_GB2312" w:eastAsia="仿宋_GB2312" w:cs="仿宋_GB2312"/>
          <w:b w:val="0"/>
          <w:bCs w:val="0"/>
          <w:color w:val="auto"/>
          <w:lang w:val="en-US" w:eastAsia="zh-CN"/>
        </w:rPr>
        <w:t>《山东省财政厅山东省人力资源和社会保障厅关于印发山东省就业补助资金管理办法的通知》（鲁财社〔2024〕56号)</w:t>
      </w:r>
      <w:r>
        <w:rPr>
          <w:rFonts w:hint="eastAsia" w:ascii="仿宋_GB2312" w:hAnsi="仿宋_GB2312" w:eastAsia="仿宋_GB2312" w:cs="仿宋_GB2312"/>
          <w:color w:val="auto"/>
          <w:lang w:val="en-US" w:eastAsia="zh-CN"/>
        </w:rPr>
        <w:t>有关要求，为促进困难毕业生就业，现就做好2026届毕业生一次性求职补贴审核发放工作有关事项通知如下：</w:t>
      </w:r>
    </w:p>
    <w:p w14:paraId="7E047BBF">
      <w:pPr>
        <w:keepNext w:val="0"/>
        <w:keepLines w:val="0"/>
        <w:pageBreakBefore w:val="0"/>
        <w:widowControl w:val="0"/>
        <w:kinsoku/>
        <w:wordWrap/>
        <w:overflowPunct/>
        <w:topLinePunct w:val="0"/>
        <w:autoSpaceDE/>
        <w:autoSpaceDN/>
        <w:bidi w:val="0"/>
        <w:adjustRightInd/>
        <w:snapToGrid/>
        <w:spacing w:line="560" w:lineRule="exact"/>
        <w:ind w:leftChars="0" w:firstLine="632" w:firstLineChars="200"/>
        <w:textAlignment w:val="auto"/>
        <w:rPr>
          <w:rFonts w:ascii="黑体" w:eastAsia="黑体"/>
          <w:color w:val="auto"/>
        </w:rPr>
      </w:pPr>
      <w:r>
        <w:rPr>
          <w:rFonts w:hint="eastAsia" w:ascii="黑体" w:eastAsia="黑体"/>
          <w:color w:val="auto"/>
        </w:rPr>
        <w:t>一、发放对象和标准</w:t>
      </w:r>
    </w:p>
    <w:p w14:paraId="69100EA2">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hint="eastAsia" w:ascii="仿宋_GB2312" w:eastAsia="仿宋_GB2312"/>
          <w:color w:val="auto"/>
          <w:lang w:eastAsia="zh-CN"/>
        </w:rPr>
      </w:pPr>
      <w:r>
        <w:rPr>
          <w:rFonts w:hint="eastAsia" w:ascii="仿宋_GB2312" w:eastAsia="仿宋_GB2312"/>
          <w:color w:val="auto"/>
          <w:lang w:eastAsia="zh-CN"/>
        </w:rPr>
        <w:t>一次性求职补贴</w:t>
      </w:r>
      <w:r>
        <w:rPr>
          <w:rFonts w:hint="eastAsia" w:ascii="仿宋_GB2312" w:eastAsia="仿宋_GB2312"/>
          <w:color w:val="auto"/>
        </w:rPr>
        <w:t>发放对象为毕业学年内有就业意愿</w:t>
      </w:r>
      <w:r>
        <w:rPr>
          <w:rFonts w:hint="eastAsia" w:ascii="仿宋_GB2312" w:eastAsia="仿宋_GB2312"/>
          <w:color w:val="auto"/>
          <w:lang w:eastAsia="zh-CN"/>
        </w:rPr>
        <w:t>、</w:t>
      </w:r>
      <w:r>
        <w:rPr>
          <w:rFonts w:hint="eastAsia" w:ascii="仿宋_GB2312" w:eastAsia="仿宋_GB2312"/>
          <w:color w:val="auto"/>
        </w:rPr>
        <w:t>积极求职并符合下列条件之一的普通高等学校、</w:t>
      </w:r>
      <w:r>
        <w:rPr>
          <w:rFonts w:hint="eastAsia" w:ascii="仿宋_GB2312" w:hAnsi="仿宋_GB2312" w:eastAsia="仿宋_GB2312" w:cs="仿宋_GB2312"/>
          <w:color w:val="auto"/>
        </w:rPr>
        <w:t>中等职业学校</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技工院校</w:t>
      </w:r>
      <w:r>
        <w:rPr>
          <w:rFonts w:hint="eastAsia" w:ascii="仿宋_GB2312" w:eastAsia="仿宋_GB2312"/>
          <w:color w:val="auto"/>
        </w:rPr>
        <w:t>毕业生。发放标准</w:t>
      </w:r>
      <w:r>
        <w:rPr>
          <w:rFonts w:hint="eastAsia" w:ascii="仿宋_GB2312" w:eastAsia="仿宋_GB2312"/>
          <w:color w:val="auto"/>
          <w:lang w:eastAsia="zh-CN"/>
        </w:rPr>
        <w:t>：</w:t>
      </w:r>
    </w:p>
    <w:p w14:paraId="7FEFC9D0">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ascii="仿宋_GB2312" w:hAnsi="仿宋_GB2312" w:eastAsia="仿宋_GB2312" w:cs="仿宋_GB2312"/>
          <w:color w:val="auto"/>
        </w:rPr>
      </w:pPr>
      <w:r>
        <w:rPr>
          <w:rFonts w:hint="eastAsia" w:ascii="仿宋_GB2312" w:hAnsi="仿宋_GB2312" w:eastAsia="仿宋_GB2312" w:cs="仿宋_GB2312"/>
          <w:color w:val="auto"/>
        </w:rPr>
        <w:t>1.城乡居民最低生活保障家庭毕业生，标准为1000元/人；</w:t>
      </w:r>
    </w:p>
    <w:p w14:paraId="7131C817">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ascii="仿宋_GB2312" w:eastAsia="仿宋_GB2312"/>
          <w:color w:val="auto"/>
        </w:rPr>
      </w:pPr>
      <w:r>
        <w:rPr>
          <w:rFonts w:hint="eastAsia" w:ascii="仿宋_GB2312" w:eastAsia="仿宋_GB2312"/>
          <w:color w:val="auto"/>
        </w:rPr>
        <w:t>2.特困人员毕业生</w:t>
      </w:r>
      <w:r>
        <w:rPr>
          <w:rFonts w:hint="eastAsia" w:ascii="仿宋_GB2312" w:hAnsi="仿宋_GB2312" w:eastAsia="仿宋_GB2312" w:cs="仿宋_GB2312"/>
          <w:color w:val="auto"/>
        </w:rPr>
        <w:t>，标准为1000元/人</w:t>
      </w:r>
      <w:r>
        <w:rPr>
          <w:rFonts w:hint="eastAsia" w:ascii="仿宋_GB2312" w:eastAsia="仿宋_GB2312"/>
          <w:color w:val="auto"/>
        </w:rPr>
        <w:t>；</w:t>
      </w:r>
    </w:p>
    <w:p w14:paraId="3772545C">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lang w:val="en-US" w:eastAsia="zh-CN"/>
        </w:rPr>
        <w:t>3</w:t>
      </w:r>
      <w:r>
        <w:rPr>
          <w:rFonts w:hint="eastAsia" w:ascii="仿宋_GB2312" w:hAnsi="仿宋_GB2312" w:eastAsia="仿宋_GB2312" w:cs="仿宋_GB2312"/>
          <w:color w:val="auto"/>
        </w:rPr>
        <w:t>.</w:t>
      </w:r>
      <w:r>
        <w:rPr>
          <w:rFonts w:hint="eastAsia" w:ascii="仿宋_GB2312" w:hAnsi="仿宋_GB2312" w:eastAsia="仿宋_GB2312" w:cs="仿宋_GB2312"/>
          <w:color w:val="auto"/>
          <w:lang w:eastAsia="zh-CN"/>
        </w:rPr>
        <w:t>防止返贫致贫监测对象</w:t>
      </w:r>
      <w:r>
        <w:rPr>
          <w:rFonts w:hint="eastAsia" w:ascii="仿宋_GB2312" w:hAnsi="仿宋_GB2312" w:eastAsia="仿宋_GB2312" w:cs="仿宋_GB2312"/>
          <w:color w:val="auto"/>
        </w:rPr>
        <w:t>家庭毕业生，标准为1000元/人；</w:t>
      </w:r>
    </w:p>
    <w:p w14:paraId="7F8F7D2B">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lang w:val="en-US" w:eastAsia="zh-CN"/>
        </w:rPr>
        <w:t>4</w:t>
      </w:r>
      <w:r>
        <w:rPr>
          <w:rFonts w:hint="eastAsia" w:ascii="仿宋_GB2312" w:hAnsi="仿宋_GB2312" w:eastAsia="仿宋_GB2312" w:cs="仿宋_GB2312"/>
          <w:color w:val="auto"/>
        </w:rPr>
        <w:t>.</w:t>
      </w:r>
      <w:r>
        <w:rPr>
          <w:rFonts w:hint="eastAsia" w:ascii="仿宋_GB2312" w:eastAsia="仿宋_GB2312"/>
          <w:color w:val="auto"/>
        </w:rPr>
        <w:t>残疾人毕业生</w:t>
      </w:r>
      <w:r>
        <w:rPr>
          <w:rFonts w:hint="eastAsia" w:ascii="仿宋_GB2312" w:hAnsi="仿宋_GB2312" w:eastAsia="仿宋_GB2312" w:cs="仿宋_GB2312"/>
          <w:color w:val="auto"/>
        </w:rPr>
        <w:t>，标准为1000元/人；</w:t>
      </w:r>
    </w:p>
    <w:p w14:paraId="79532FB2">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5.零就业家庭毕业生，标准为1000元/人；</w:t>
      </w:r>
    </w:p>
    <w:p w14:paraId="646FAF84">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ascii="仿宋_GB2312" w:eastAsia="仿宋_GB2312"/>
          <w:color w:val="auto"/>
        </w:rPr>
      </w:pPr>
      <w:r>
        <w:rPr>
          <w:rFonts w:hint="eastAsia" w:ascii="仿宋_GB2312" w:eastAsia="仿宋_GB2312"/>
          <w:color w:val="auto"/>
          <w:lang w:val="en-US" w:eastAsia="zh-CN"/>
        </w:rPr>
        <w:t>6</w:t>
      </w:r>
      <w:r>
        <w:rPr>
          <w:rFonts w:hint="eastAsia" w:ascii="仿宋_GB2312" w:eastAsia="仿宋_GB2312"/>
          <w:color w:val="auto"/>
        </w:rPr>
        <w:t>.在学期间已获得国家助学贷款毕业生，标准为600元/人。</w:t>
      </w:r>
    </w:p>
    <w:p w14:paraId="539EEBA8">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ascii="仿宋_GB2312" w:eastAsia="仿宋_GB2312"/>
          <w:color w:val="auto"/>
        </w:rPr>
      </w:pPr>
      <w:r>
        <w:rPr>
          <w:rFonts w:hint="eastAsia" w:ascii="仿宋_GB2312" w:eastAsia="仿宋_GB2312"/>
          <w:color w:val="auto"/>
          <w:lang w:val="en-US" w:eastAsia="zh-CN"/>
        </w:rPr>
        <w:t>同时符合上述多项条件的，按其中一项认定，不重复发放补贴；</w:t>
      </w:r>
      <w:r>
        <w:rPr>
          <w:rFonts w:hint="eastAsia" w:ascii="仿宋_GB2312" w:eastAsia="仿宋_GB2312"/>
          <w:color w:val="auto"/>
          <w:lang w:eastAsia="zh-CN"/>
        </w:rPr>
        <w:t>曾申领过</w:t>
      </w:r>
      <w:r>
        <w:rPr>
          <w:rFonts w:hint="eastAsia" w:ascii="仿宋_GB2312" w:eastAsia="仿宋_GB2312"/>
          <w:color w:val="auto"/>
          <w:lang w:val="en-US" w:eastAsia="zh-CN"/>
        </w:rPr>
        <w:t>我省</w:t>
      </w:r>
      <w:r>
        <w:rPr>
          <w:rFonts w:hint="eastAsia" w:ascii="仿宋_GB2312" w:eastAsia="仿宋_GB2312"/>
          <w:color w:val="auto"/>
          <w:lang w:eastAsia="zh-CN"/>
        </w:rPr>
        <w:t>一次性求职补贴（原“求职创业补贴”）的毕业生，进入下一阶段学习并再次毕业的，不再发放补贴</w:t>
      </w:r>
      <w:r>
        <w:rPr>
          <w:rFonts w:hint="eastAsia" w:ascii="仿宋_GB2312" w:eastAsia="仿宋_GB2312"/>
          <w:color w:val="auto"/>
        </w:rPr>
        <w:t>。</w:t>
      </w:r>
    </w:p>
    <w:p w14:paraId="452C9016">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ascii="黑体" w:eastAsia="黑体"/>
          <w:color w:val="auto"/>
        </w:rPr>
      </w:pPr>
      <w:r>
        <w:rPr>
          <w:rFonts w:hint="eastAsia" w:ascii="黑体" w:eastAsia="黑体"/>
          <w:color w:val="auto"/>
        </w:rPr>
        <w:t>二、申请拨付流程</w:t>
      </w:r>
    </w:p>
    <w:p w14:paraId="0657E78D">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ascii="仿宋_GB2312" w:eastAsia="仿宋_GB2312"/>
          <w:color w:val="auto"/>
        </w:rPr>
      </w:pPr>
      <w:r>
        <w:rPr>
          <w:rFonts w:hint="eastAsia" w:ascii="仿宋_GB2312" w:eastAsia="仿宋_GB2312"/>
          <w:color w:val="auto"/>
          <w:lang w:eastAsia="zh-CN"/>
        </w:rPr>
        <w:t>申请流程</w:t>
      </w:r>
      <w:r>
        <w:rPr>
          <w:rFonts w:hint="eastAsia" w:ascii="仿宋_GB2312" w:eastAsia="仿宋_GB2312"/>
          <w:color w:val="auto"/>
        </w:rPr>
        <w:t>实行全程网办，进一步提高申请数据系统校验比例，简化优化</w:t>
      </w:r>
      <w:r>
        <w:rPr>
          <w:rFonts w:hint="eastAsia" w:ascii="仿宋_GB2312" w:eastAsia="仿宋_GB2312"/>
          <w:color w:val="auto"/>
          <w:lang w:eastAsia="zh-CN"/>
        </w:rPr>
        <w:t>申请</w:t>
      </w:r>
      <w:r>
        <w:rPr>
          <w:rFonts w:hint="eastAsia" w:ascii="仿宋_GB2312" w:eastAsia="仿宋_GB2312"/>
          <w:color w:val="auto"/>
        </w:rPr>
        <w:t>发放程序。</w:t>
      </w:r>
    </w:p>
    <w:p w14:paraId="14E4FF06">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ascii="楷体_GB2312" w:hAnsi="Arial" w:eastAsia="楷体_GB2312" w:cs="Arial"/>
          <w:bCs/>
          <w:color w:val="auto"/>
          <w:kern w:val="36"/>
        </w:rPr>
      </w:pPr>
      <w:r>
        <w:rPr>
          <w:rFonts w:hint="eastAsia" w:ascii="楷体_GB2312" w:hAnsi="Arial" w:eastAsia="楷体_GB2312" w:cs="Arial"/>
          <w:bCs/>
          <w:color w:val="auto"/>
          <w:kern w:val="36"/>
        </w:rPr>
        <w:t>（一）毕业生申请（</w:t>
      </w:r>
      <w:r>
        <w:rPr>
          <w:rFonts w:hint="eastAsia" w:ascii="楷体_GB2312" w:hAnsi="Arial" w:eastAsia="楷体_GB2312" w:cs="Arial"/>
          <w:bCs/>
          <w:color w:val="auto"/>
          <w:kern w:val="36"/>
          <w:lang w:val="en-US" w:eastAsia="zh-CN"/>
        </w:rPr>
        <w:t>9</w:t>
      </w:r>
      <w:r>
        <w:rPr>
          <w:rFonts w:hint="eastAsia" w:ascii="楷体_GB2312" w:hAnsi="Arial" w:eastAsia="楷体_GB2312" w:cs="Arial"/>
          <w:bCs/>
          <w:color w:val="auto"/>
          <w:kern w:val="36"/>
        </w:rPr>
        <w:t>月</w:t>
      </w:r>
      <w:r>
        <w:rPr>
          <w:rFonts w:hint="eastAsia" w:ascii="楷体_GB2312" w:hAnsi="Arial" w:eastAsia="楷体_GB2312" w:cs="Arial"/>
          <w:bCs/>
          <w:color w:val="auto"/>
          <w:kern w:val="36"/>
          <w:lang w:val="en-US" w:eastAsia="zh-CN"/>
        </w:rPr>
        <w:t>2</w:t>
      </w:r>
      <w:r>
        <w:rPr>
          <w:rFonts w:hint="eastAsia" w:ascii="楷体_GB2312" w:hAnsi="Arial" w:eastAsia="楷体_GB2312" w:cs="Arial"/>
          <w:bCs/>
          <w:color w:val="auto"/>
          <w:kern w:val="36"/>
        </w:rPr>
        <w:t>日</w:t>
      </w:r>
      <w:r>
        <w:rPr>
          <w:rFonts w:hint="eastAsia" w:ascii="楷体_GB2312" w:hAnsi="Arial" w:eastAsia="楷体_GB2312" w:cs="Arial"/>
          <w:bCs/>
          <w:color w:val="auto"/>
          <w:kern w:val="36"/>
          <w:lang w:eastAsia="zh"/>
        </w:rPr>
        <w:t>—</w:t>
      </w:r>
      <w:r>
        <w:rPr>
          <w:rFonts w:hint="eastAsia" w:ascii="楷体_GB2312" w:hAnsi="Arial" w:eastAsia="楷体_GB2312" w:cs="Arial"/>
          <w:bCs/>
          <w:color w:val="auto"/>
          <w:kern w:val="36"/>
        </w:rPr>
        <w:t>9</w:t>
      </w:r>
      <w:r>
        <w:rPr>
          <w:rFonts w:ascii="楷体_GB2312" w:hAnsi="Arial" w:eastAsia="楷体_GB2312" w:cs="Arial"/>
          <w:bCs/>
          <w:color w:val="auto"/>
          <w:kern w:val="36"/>
        </w:rPr>
        <w:t>月</w:t>
      </w:r>
      <w:r>
        <w:rPr>
          <w:rFonts w:hint="eastAsia" w:ascii="楷体_GB2312" w:hAnsi="Arial" w:eastAsia="楷体_GB2312" w:cs="Arial"/>
          <w:bCs/>
          <w:color w:val="auto"/>
          <w:kern w:val="36"/>
          <w:lang w:val="en-US" w:eastAsia="zh-CN"/>
        </w:rPr>
        <w:t>27</w:t>
      </w:r>
      <w:r>
        <w:rPr>
          <w:rFonts w:hint="eastAsia" w:ascii="楷体_GB2312" w:hAnsi="Arial" w:eastAsia="楷体_GB2312" w:cs="Arial"/>
          <w:bCs/>
          <w:color w:val="auto"/>
          <w:kern w:val="36"/>
        </w:rPr>
        <w:t>日）</w:t>
      </w:r>
    </w:p>
    <w:p w14:paraId="3BA93B19">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ascii="仿宋_GB2312" w:hAnsi="仿宋_GB2312" w:eastAsia="仿宋_GB2312" w:cs="仿宋_GB2312"/>
          <w:color w:val="auto"/>
        </w:rPr>
      </w:pPr>
      <w:r>
        <w:rPr>
          <w:rFonts w:hint="eastAsia" w:ascii="仿宋_GB2312" w:hAnsi="仿宋_GB2312" w:eastAsia="仿宋_GB2312" w:cs="仿宋_GB2312"/>
          <w:color w:val="auto"/>
        </w:rPr>
        <w:t>符合条件的毕业生</w:t>
      </w:r>
      <w:r>
        <w:rPr>
          <w:rFonts w:hint="eastAsia" w:ascii="仿宋_GB2312" w:hAnsi="仿宋_GB2312" w:eastAsia="仿宋_GB2312" w:cs="仿宋_GB2312"/>
          <w:color w:val="auto"/>
          <w:lang w:val="en-US" w:eastAsia="zh-CN"/>
        </w:rPr>
        <w:t>注册</w:t>
      </w:r>
      <w:r>
        <w:rPr>
          <w:rFonts w:hint="eastAsia" w:ascii="仿宋_GB2312" w:hAnsi="仿宋_GB2312" w:eastAsia="仿宋_GB2312" w:cs="仿宋_GB2312"/>
          <w:color w:val="auto"/>
        </w:rPr>
        <w:t>登</w:t>
      </w:r>
      <w:r>
        <w:rPr>
          <w:rFonts w:hint="eastAsia" w:ascii="仿宋_GB2312" w:hAnsi="仿宋_GB2312" w:eastAsia="仿宋_GB2312" w:cs="仿宋_GB2312"/>
          <w:color w:val="auto"/>
          <w:lang w:val="en-US" w:eastAsia="zh-CN"/>
        </w:rPr>
        <w:t>录</w:t>
      </w:r>
      <w:r>
        <w:rPr>
          <w:rFonts w:hint="eastAsia" w:ascii="仿宋_GB2312" w:hAnsi="仿宋_GB2312" w:eastAsia="仿宋_GB2312" w:cs="仿宋_GB2312"/>
          <w:color w:val="auto"/>
        </w:rPr>
        <w:t>“山东高校毕业生就业信息网”（以下简称“信息网”）“</w:t>
      </w:r>
      <w:r>
        <w:rPr>
          <w:rFonts w:hint="eastAsia" w:ascii="仿宋_GB2312" w:hAnsi="仿宋_GB2312" w:eastAsia="仿宋_GB2312" w:cs="仿宋_GB2312"/>
          <w:color w:val="auto"/>
          <w:lang w:eastAsia="zh-CN"/>
        </w:rPr>
        <w:t>一次性求职补贴</w:t>
      </w:r>
      <w:r>
        <w:rPr>
          <w:rFonts w:hint="eastAsia" w:ascii="仿宋_GB2312" w:hAnsi="仿宋_GB2312" w:eastAsia="仿宋_GB2312" w:cs="仿宋_GB2312"/>
          <w:color w:val="auto"/>
        </w:rPr>
        <w:t>申请”模块，填写提交相关信息和个人</w:t>
      </w:r>
      <w:r>
        <w:rPr>
          <w:rFonts w:hint="eastAsia" w:ascii="仿宋_GB2312" w:eastAsia="仿宋_GB2312"/>
          <w:color w:val="auto"/>
        </w:rPr>
        <w:t>有就业意愿并积极求职</w:t>
      </w:r>
      <w:r>
        <w:rPr>
          <w:rFonts w:hint="eastAsia" w:ascii="仿宋_GB2312" w:hAnsi="仿宋_GB2312" w:eastAsia="仿宋_GB2312" w:cs="仿宋_GB2312"/>
          <w:color w:val="auto"/>
        </w:rPr>
        <w:t>承诺书。通过系统大数据校验比对申请资格有效的，毕业生无需提供佐证材料；未能通过校验比对的</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须</w:t>
      </w:r>
      <w:r>
        <w:rPr>
          <w:rFonts w:hint="eastAsia" w:ascii="仿宋_GB2312" w:hAnsi="仿宋_GB2312" w:eastAsia="仿宋_GB2312" w:cs="仿宋_GB2312"/>
          <w:color w:val="auto"/>
          <w:lang w:val="en-US" w:eastAsia="zh-CN"/>
        </w:rPr>
        <w:t>按要求</w:t>
      </w:r>
      <w:r>
        <w:rPr>
          <w:rFonts w:hint="eastAsia" w:ascii="仿宋_GB2312" w:hAnsi="仿宋_GB2312" w:eastAsia="仿宋_GB2312" w:cs="仿宋_GB2312"/>
          <w:color w:val="auto"/>
        </w:rPr>
        <w:t>上传相关佐证材料（详见附件）。如上传材料不清、不全，学校、市级有关部门无法有效核实的，毕业生应在审核期间按照系统反馈的审核意见及时重新上传佐证材料，逾期不予受理。逾期未申请或规定期限内相关佐证材料无法审核通过的，视为自愿放弃申请。</w:t>
      </w:r>
    </w:p>
    <w:p w14:paraId="10247AD2">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left="0" w:leftChars="0" w:firstLine="632" w:firstLineChars="200"/>
        <w:textAlignment w:val="auto"/>
        <w:rPr>
          <w:rFonts w:ascii="楷体_GB2312" w:hAnsi="楷体_GB2312" w:eastAsia="楷体_GB2312" w:cs="楷体_GB2312"/>
          <w:color w:val="auto"/>
        </w:rPr>
      </w:pPr>
      <w:r>
        <w:rPr>
          <w:rFonts w:ascii="楷体_GB2312" w:hAnsi="楷体_GB2312" w:eastAsia="楷体_GB2312" w:cs="楷体_GB2312"/>
          <w:color w:val="auto"/>
          <w:kern w:val="2"/>
          <w:sz w:val="32"/>
          <w:szCs w:val="32"/>
          <w:lang w:val="en-US" w:eastAsia="zh-CN" w:bidi="ar-SA"/>
        </w:rPr>
        <w:t>（二）</w:t>
      </w:r>
      <w:r>
        <w:rPr>
          <w:rFonts w:hint="eastAsia" w:ascii="楷体_GB2312" w:hAnsi="楷体_GB2312" w:eastAsia="楷体_GB2312" w:cs="楷体_GB2312"/>
          <w:color w:val="auto"/>
        </w:rPr>
        <w:t>学校审核（</w:t>
      </w:r>
      <w:r>
        <w:rPr>
          <w:rFonts w:hint="eastAsia" w:ascii="楷体_GB2312" w:hAnsi="楷体_GB2312" w:eastAsia="楷体_GB2312" w:cs="楷体_GB2312"/>
          <w:bCs/>
          <w:color w:val="auto"/>
          <w:kern w:val="36"/>
          <w:lang w:val="en-US" w:eastAsia="zh-CN"/>
        </w:rPr>
        <w:t>9</w:t>
      </w:r>
      <w:r>
        <w:rPr>
          <w:rFonts w:hint="eastAsia" w:ascii="楷体_GB2312" w:hAnsi="楷体_GB2312" w:eastAsia="楷体_GB2312" w:cs="楷体_GB2312"/>
          <w:bCs/>
          <w:color w:val="auto"/>
          <w:kern w:val="36"/>
        </w:rPr>
        <w:t>月</w:t>
      </w:r>
      <w:r>
        <w:rPr>
          <w:rFonts w:hint="eastAsia" w:ascii="楷体_GB2312" w:hAnsi="楷体_GB2312" w:eastAsia="楷体_GB2312" w:cs="楷体_GB2312"/>
          <w:bCs/>
          <w:color w:val="auto"/>
          <w:kern w:val="36"/>
          <w:lang w:val="en-US" w:eastAsia="zh-CN"/>
        </w:rPr>
        <w:t>2</w:t>
      </w:r>
      <w:r>
        <w:rPr>
          <w:rFonts w:hint="eastAsia" w:ascii="楷体_GB2312" w:hAnsi="楷体_GB2312" w:eastAsia="楷体_GB2312" w:cs="楷体_GB2312"/>
          <w:bCs/>
          <w:color w:val="auto"/>
          <w:kern w:val="36"/>
        </w:rPr>
        <w:t>日</w:t>
      </w:r>
      <w:r>
        <w:rPr>
          <w:rFonts w:hint="eastAsia" w:ascii="楷体_GB2312" w:hAnsi="楷体_GB2312" w:eastAsia="楷体_GB2312" w:cs="楷体_GB2312"/>
          <w:bCs/>
          <w:color w:val="auto"/>
          <w:kern w:val="36"/>
          <w:lang w:eastAsia="zh"/>
        </w:rPr>
        <w:t>—</w:t>
      </w:r>
      <w:r>
        <w:rPr>
          <w:rFonts w:hint="eastAsia" w:ascii="楷体_GB2312" w:hAnsi="楷体_GB2312" w:eastAsia="楷体_GB2312" w:cs="楷体_GB2312"/>
          <w:bCs/>
          <w:color w:val="auto"/>
          <w:kern w:val="36"/>
        </w:rPr>
        <w:t>9月</w:t>
      </w:r>
      <w:r>
        <w:rPr>
          <w:rFonts w:hint="eastAsia" w:ascii="楷体_GB2312" w:hAnsi="楷体_GB2312" w:eastAsia="楷体_GB2312" w:cs="楷体_GB2312"/>
          <w:bCs/>
          <w:color w:val="auto"/>
          <w:kern w:val="36"/>
          <w:lang w:val="en-US" w:eastAsia="zh-CN"/>
        </w:rPr>
        <w:t>29</w:t>
      </w:r>
      <w:r>
        <w:rPr>
          <w:rFonts w:hint="eastAsia" w:ascii="楷体_GB2312" w:hAnsi="楷体_GB2312" w:eastAsia="楷体_GB2312" w:cs="楷体_GB2312"/>
          <w:bCs/>
          <w:color w:val="auto"/>
          <w:kern w:val="36"/>
        </w:rPr>
        <w:t>日</w:t>
      </w:r>
      <w:r>
        <w:rPr>
          <w:rFonts w:hint="eastAsia" w:ascii="楷体_GB2312" w:hAnsi="楷体_GB2312" w:eastAsia="楷体_GB2312" w:cs="楷体_GB2312"/>
          <w:color w:val="auto"/>
        </w:rPr>
        <w:t>）</w:t>
      </w:r>
    </w:p>
    <w:p w14:paraId="783A6F05">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ascii="仿宋_GB2312" w:hAnsi="仿宋_GB2312" w:eastAsia="仿宋_GB2312" w:cs="仿宋_GB2312"/>
          <w:color w:val="auto"/>
        </w:rPr>
      </w:pPr>
      <w:r>
        <w:rPr>
          <w:rFonts w:hint="eastAsia" w:ascii="仿宋_GB2312" w:hAnsi="仿宋_GB2312" w:eastAsia="仿宋_GB2312" w:cs="仿宋_GB2312"/>
          <w:color w:val="auto"/>
        </w:rPr>
        <w:t>各学校须明确专人负责，及时登录信息网“</w:t>
      </w:r>
      <w:r>
        <w:rPr>
          <w:rFonts w:hint="eastAsia" w:ascii="仿宋_GB2312" w:hAnsi="仿宋_GB2312" w:eastAsia="仿宋_GB2312" w:cs="仿宋_GB2312"/>
          <w:color w:val="auto"/>
          <w:lang w:eastAsia="zh-CN"/>
        </w:rPr>
        <w:t>一次性求职补贴</w:t>
      </w:r>
      <w:r>
        <w:rPr>
          <w:rFonts w:hint="eastAsia" w:ascii="仿宋_GB2312" w:hAnsi="仿宋_GB2312" w:eastAsia="仿宋_GB2312" w:cs="仿宋_GB2312"/>
          <w:color w:val="auto"/>
        </w:rPr>
        <w:t>申请”模块进行审核</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eastAsia="zh"/>
        </w:rPr>
        <w:t>务必</w:t>
      </w:r>
      <w:r>
        <w:rPr>
          <w:rFonts w:hint="eastAsia" w:ascii="仿宋_GB2312" w:hAnsi="仿宋_GB2312" w:eastAsia="仿宋_GB2312" w:cs="仿宋_GB2312"/>
          <w:color w:val="auto"/>
        </w:rPr>
        <w:t>于9月</w:t>
      </w:r>
      <w:r>
        <w:rPr>
          <w:rFonts w:hint="eastAsia" w:ascii="仿宋_GB2312" w:hAnsi="仿宋_GB2312" w:eastAsia="仿宋_GB2312" w:cs="仿宋_GB2312"/>
          <w:color w:val="auto"/>
          <w:lang w:val="en-US" w:eastAsia="zh-CN"/>
        </w:rPr>
        <w:t>29</w:t>
      </w:r>
      <w:r>
        <w:rPr>
          <w:rFonts w:hint="eastAsia" w:ascii="仿宋_GB2312" w:hAnsi="仿宋_GB2312" w:eastAsia="仿宋_GB2312" w:cs="仿宋_GB2312"/>
          <w:color w:val="auto"/>
        </w:rPr>
        <w:t>日前完成初审并通过系统提交。审核主要内容：一是申请毕业生是否属于毕业学年内普通高等学校、中等职业学校、技工院校毕业生；二是系统校验比对不通过的毕业生，申请类别与佐证材料是否相符</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佐证材料是否符合要求</w:t>
      </w:r>
      <w:r>
        <w:rPr>
          <w:rFonts w:hint="eastAsia" w:ascii="仿宋_GB2312" w:hAnsi="仿宋_GB2312" w:eastAsia="仿宋_GB2312" w:cs="仿宋_GB2312"/>
          <w:color w:val="auto"/>
        </w:rPr>
        <w:t>。审核不通过的，学校须通过系统注明未通过审核原因并</w:t>
      </w:r>
      <w:r>
        <w:rPr>
          <w:rFonts w:hint="eastAsia" w:ascii="仿宋_GB2312" w:hAnsi="仿宋_GB2312" w:eastAsia="仿宋_GB2312" w:cs="仿宋_GB2312"/>
          <w:color w:val="auto"/>
          <w:lang w:val="en-US" w:eastAsia="zh-CN"/>
        </w:rPr>
        <w:t>及时</w:t>
      </w:r>
      <w:r>
        <w:rPr>
          <w:rFonts w:hint="eastAsia" w:ascii="仿宋_GB2312" w:hAnsi="仿宋_GB2312" w:eastAsia="仿宋_GB2312" w:cs="仿宋_GB2312"/>
          <w:color w:val="auto"/>
        </w:rPr>
        <w:t>反馈毕业生本人</w:t>
      </w:r>
      <w:r>
        <w:rPr>
          <w:rFonts w:hint="eastAsia" w:ascii="仿宋_GB2312" w:hAnsi="仿宋_GB2312" w:eastAsia="仿宋_GB2312" w:cs="仿宋_GB2312"/>
          <w:color w:val="auto"/>
          <w:lang w:eastAsia="zh-CN"/>
        </w:rPr>
        <w:t>，做好解释说明</w:t>
      </w:r>
      <w:r>
        <w:rPr>
          <w:rFonts w:hint="eastAsia" w:ascii="仿宋_GB2312" w:hAnsi="仿宋_GB2312" w:eastAsia="仿宋_GB2312" w:cs="仿宋_GB2312"/>
          <w:color w:val="auto"/>
        </w:rPr>
        <w:t>。</w:t>
      </w:r>
    </w:p>
    <w:p w14:paraId="0ABD6CC1">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left="0" w:leftChars="0" w:firstLine="632" w:firstLineChars="200"/>
        <w:textAlignment w:val="auto"/>
        <w:rPr>
          <w:rFonts w:ascii="楷体_GB2312" w:hAnsi="楷体_GB2312" w:eastAsia="楷体_GB2312" w:cs="楷体_GB2312"/>
          <w:color w:val="auto"/>
        </w:rPr>
      </w:pPr>
      <w:r>
        <w:rPr>
          <w:rFonts w:ascii="楷体_GB2312" w:hAnsi="楷体_GB2312" w:eastAsia="楷体_GB2312" w:cs="楷体_GB2312"/>
          <w:color w:val="auto"/>
          <w:kern w:val="2"/>
          <w:sz w:val="32"/>
          <w:szCs w:val="32"/>
          <w:lang w:val="en-US" w:eastAsia="zh-CN" w:bidi="ar-SA"/>
        </w:rPr>
        <w:t>（三）</w:t>
      </w:r>
      <w:r>
        <w:rPr>
          <w:rFonts w:hint="eastAsia" w:ascii="楷体_GB2312" w:hAnsi="楷体_GB2312" w:eastAsia="楷体_GB2312" w:cs="楷体_GB2312"/>
          <w:color w:val="auto"/>
        </w:rPr>
        <w:t>市级复核（</w:t>
      </w:r>
      <w:r>
        <w:rPr>
          <w:rFonts w:hint="eastAsia" w:ascii="楷体_GB2312" w:hAnsi="楷体_GB2312" w:eastAsia="楷体_GB2312" w:cs="楷体_GB2312"/>
          <w:bCs/>
          <w:color w:val="auto"/>
          <w:kern w:val="36"/>
          <w:lang w:val="en-US" w:eastAsia="zh-CN"/>
        </w:rPr>
        <w:t>9</w:t>
      </w:r>
      <w:r>
        <w:rPr>
          <w:rFonts w:hint="eastAsia" w:ascii="楷体_GB2312" w:hAnsi="楷体_GB2312" w:eastAsia="楷体_GB2312" w:cs="楷体_GB2312"/>
          <w:bCs/>
          <w:color w:val="auto"/>
          <w:kern w:val="36"/>
        </w:rPr>
        <w:t>月</w:t>
      </w:r>
      <w:r>
        <w:rPr>
          <w:rFonts w:hint="eastAsia" w:ascii="楷体_GB2312" w:hAnsi="楷体_GB2312" w:eastAsia="楷体_GB2312" w:cs="楷体_GB2312"/>
          <w:bCs/>
          <w:color w:val="auto"/>
          <w:kern w:val="36"/>
          <w:lang w:val="en-US" w:eastAsia="zh-CN"/>
        </w:rPr>
        <w:t>2</w:t>
      </w:r>
      <w:r>
        <w:rPr>
          <w:rFonts w:hint="eastAsia" w:ascii="楷体_GB2312" w:hAnsi="楷体_GB2312" w:eastAsia="楷体_GB2312" w:cs="楷体_GB2312"/>
          <w:bCs/>
          <w:color w:val="auto"/>
          <w:kern w:val="36"/>
        </w:rPr>
        <w:t>日</w:t>
      </w:r>
      <w:r>
        <w:rPr>
          <w:rFonts w:hint="eastAsia" w:ascii="楷体_GB2312" w:hAnsi="楷体_GB2312" w:eastAsia="楷体_GB2312" w:cs="楷体_GB2312"/>
          <w:bCs/>
          <w:color w:val="auto"/>
          <w:kern w:val="36"/>
          <w:lang w:eastAsia="zh"/>
        </w:rPr>
        <w:t>—</w:t>
      </w:r>
      <w:r>
        <w:rPr>
          <w:rFonts w:hint="eastAsia" w:ascii="楷体_GB2312" w:hAnsi="楷体_GB2312" w:eastAsia="楷体_GB2312" w:cs="楷体_GB2312"/>
          <w:bCs/>
          <w:color w:val="auto"/>
          <w:kern w:val="36"/>
        </w:rPr>
        <w:t>9月</w:t>
      </w:r>
      <w:r>
        <w:rPr>
          <w:rFonts w:hint="eastAsia" w:ascii="楷体_GB2312" w:hAnsi="楷体_GB2312" w:eastAsia="楷体_GB2312" w:cs="楷体_GB2312"/>
          <w:bCs/>
          <w:color w:val="auto"/>
          <w:kern w:val="36"/>
          <w:lang w:val="en-US" w:eastAsia="zh-CN"/>
        </w:rPr>
        <w:t>30</w:t>
      </w:r>
      <w:r>
        <w:rPr>
          <w:rFonts w:hint="eastAsia" w:ascii="楷体_GB2312" w:hAnsi="楷体_GB2312" w:eastAsia="楷体_GB2312" w:cs="楷体_GB2312"/>
          <w:bCs/>
          <w:color w:val="auto"/>
          <w:kern w:val="36"/>
        </w:rPr>
        <w:t>日</w:t>
      </w:r>
      <w:r>
        <w:rPr>
          <w:rFonts w:hint="eastAsia" w:ascii="楷体_GB2312" w:hAnsi="楷体_GB2312" w:eastAsia="楷体_GB2312" w:cs="楷体_GB2312"/>
          <w:color w:val="auto"/>
        </w:rPr>
        <w:t>）</w:t>
      </w:r>
    </w:p>
    <w:p w14:paraId="6E681908">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ascii="仿宋_GB2312" w:hAnsi="仿宋_GB2312" w:eastAsia="仿宋_GB2312" w:cs="仿宋_GB2312"/>
          <w:color w:val="auto"/>
        </w:rPr>
      </w:pPr>
      <w:r>
        <w:rPr>
          <w:rFonts w:hint="eastAsia" w:ascii="仿宋_GB2312" w:hAnsi="仿宋_GB2312" w:eastAsia="仿宋_GB2312" w:cs="仿宋_GB2312"/>
          <w:color w:val="auto"/>
        </w:rPr>
        <w:t>按照属地管理原则，学校主校区所在地设区的市级人力资源社会保障局</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牵头负责毕业生信息和佐证材料复核工作。</w:t>
      </w:r>
      <w:r>
        <w:rPr>
          <w:rFonts w:hint="eastAsia" w:ascii="仿宋_GB2312" w:hAnsi="仿宋_GB2312" w:eastAsia="仿宋_GB2312" w:cs="仿宋_GB2312"/>
          <w:color w:val="auto"/>
          <w:lang w:val="en-US" w:eastAsia="zh-CN"/>
        </w:rPr>
        <w:t>市级</w:t>
      </w:r>
      <w:r>
        <w:rPr>
          <w:rFonts w:hint="eastAsia" w:ascii="仿宋_GB2312" w:hAnsi="仿宋_GB2312" w:eastAsia="仿宋_GB2312" w:cs="仿宋_GB2312"/>
          <w:color w:val="auto"/>
        </w:rPr>
        <w:t>复核完成后</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生成</w:t>
      </w:r>
      <w:r>
        <w:rPr>
          <w:rFonts w:hint="eastAsia" w:ascii="仿宋_GB2312" w:hAnsi="仿宋_GB2312" w:eastAsia="仿宋_GB2312" w:cs="仿宋_GB2312"/>
          <w:color w:val="auto"/>
          <w:lang w:val="en-US" w:eastAsia="zh-CN"/>
        </w:rPr>
        <w:t>全省</w:t>
      </w:r>
      <w:r>
        <w:rPr>
          <w:rFonts w:hint="eastAsia" w:ascii="仿宋_GB2312" w:hAnsi="仿宋_GB2312" w:eastAsia="仿宋_GB2312" w:cs="仿宋_GB2312"/>
          <w:color w:val="auto"/>
          <w:lang w:eastAsia="zh-CN"/>
        </w:rPr>
        <w:t>一次性求职补贴</w:t>
      </w:r>
      <w:r>
        <w:rPr>
          <w:rFonts w:hint="eastAsia" w:ascii="仿宋_GB2312" w:hAnsi="仿宋_GB2312" w:eastAsia="仿宋_GB2312" w:cs="仿宋_GB2312"/>
          <w:color w:val="auto"/>
          <w:lang w:val="en-US" w:eastAsia="zh-CN"/>
        </w:rPr>
        <w:t>拟发放人员</w:t>
      </w:r>
      <w:r>
        <w:rPr>
          <w:rFonts w:hint="eastAsia" w:ascii="仿宋_GB2312" w:hAnsi="仿宋_GB2312" w:eastAsia="仿宋_GB2312" w:cs="仿宋_GB2312"/>
          <w:color w:val="auto"/>
        </w:rPr>
        <w:t>名单，在信息网进行公示（公示期不少于5个工作日）</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同时，各市人力资源社会保障局监督属地学校，在校内公示本校一次性求职补贴拟发放人员名单（公示期不少于5个工作日），并通过系统上传公示照片或截图。</w:t>
      </w:r>
      <w:r>
        <w:rPr>
          <w:rFonts w:hint="eastAsia" w:ascii="仿宋_GB2312" w:hAnsi="仿宋_GB2312" w:eastAsia="仿宋_GB2312" w:cs="仿宋_GB2312"/>
          <w:color w:val="auto"/>
        </w:rPr>
        <w:t>根据个人信息保护有关要求，对涉及毕业生个人隐私敏感信息，原则上不予公开。</w:t>
      </w:r>
    </w:p>
    <w:p w14:paraId="2E5E2F2D">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left="0" w:leftChars="0" w:firstLine="632" w:firstLineChars="200"/>
        <w:textAlignment w:val="auto"/>
        <w:rPr>
          <w:rFonts w:ascii="楷体_GB2312" w:hAnsi="楷体_GB2312" w:eastAsia="楷体_GB2312" w:cs="楷体_GB2312"/>
          <w:color w:val="auto"/>
        </w:rPr>
      </w:pPr>
      <w:r>
        <w:rPr>
          <w:rFonts w:ascii="楷体_GB2312" w:hAnsi="楷体_GB2312" w:eastAsia="楷体_GB2312" w:cs="楷体_GB2312"/>
          <w:color w:val="auto"/>
          <w:kern w:val="2"/>
          <w:sz w:val="32"/>
          <w:szCs w:val="32"/>
          <w:lang w:val="en-US" w:eastAsia="zh-CN" w:bidi="ar-SA"/>
        </w:rPr>
        <w:t>（四）</w:t>
      </w:r>
      <w:r>
        <w:rPr>
          <w:rFonts w:hint="eastAsia" w:ascii="楷体_GB2312" w:hAnsi="楷体_GB2312" w:eastAsia="楷体_GB2312" w:cs="楷体_GB2312"/>
          <w:color w:val="auto"/>
        </w:rPr>
        <w:t>省级备案拨付资金</w:t>
      </w:r>
    </w:p>
    <w:p w14:paraId="7E167ADF">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ascii="仿宋_GB2312" w:hAnsi="Arial" w:eastAsia="仿宋_GB2312" w:cs="Arial"/>
          <w:bCs/>
          <w:color w:val="auto"/>
          <w:kern w:val="36"/>
        </w:rPr>
      </w:pPr>
      <w:r>
        <w:rPr>
          <w:rFonts w:hint="eastAsia" w:ascii="仿宋_GB2312" w:hAnsi="仿宋_GB2312" w:eastAsia="仿宋_GB2312" w:cs="仿宋_GB2312"/>
          <w:color w:val="auto"/>
        </w:rPr>
        <w:t>省人力资源社会保障厅对公示后的</w:t>
      </w:r>
      <w:r>
        <w:rPr>
          <w:rFonts w:hint="eastAsia" w:ascii="仿宋_GB2312" w:hAnsi="Arial" w:eastAsia="仿宋_GB2312" w:cs="Arial"/>
          <w:bCs/>
          <w:color w:val="auto"/>
          <w:kern w:val="36"/>
          <w:lang w:eastAsia="zh-CN"/>
        </w:rPr>
        <w:t>一次性求职补贴拟发放人员名单</w:t>
      </w:r>
      <w:r>
        <w:rPr>
          <w:rFonts w:hint="eastAsia" w:ascii="仿宋_GB2312" w:hAnsi="Arial" w:eastAsia="仿宋_GB2312" w:cs="Arial"/>
          <w:bCs/>
          <w:color w:val="auto"/>
          <w:kern w:val="36"/>
          <w:lang w:val="en-US" w:eastAsia="zh-CN"/>
        </w:rPr>
        <w:t>进行</w:t>
      </w:r>
      <w:r>
        <w:rPr>
          <w:rFonts w:hint="eastAsia" w:ascii="仿宋_GB2312" w:hAnsi="Arial" w:eastAsia="仿宋_GB2312" w:cs="Arial"/>
          <w:bCs/>
          <w:color w:val="auto"/>
          <w:kern w:val="36"/>
        </w:rPr>
        <w:t>备案，并将补助资金统一发放至毕业生本人社会保障卡</w:t>
      </w:r>
      <w:r>
        <w:rPr>
          <w:rFonts w:hint="eastAsia" w:ascii="仿宋_GB2312" w:hAnsi="Arial" w:eastAsia="仿宋_GB2312" w:cs="Arial"/>
          <w:bCs/>
          <w:color w:val="auto"/>
          <w:kern w:val="36"/>
          <w:lang w:eastAsia="zh-CN"/>
        </w:rPr>
        <w:t>金融账户或其他</w:t>
      </w:r>
      <w:r>
        <w:rPr>
          <w:rFonts w:hint="eastAsia" w:ascii="仿宋_GB2312" w:hAnsi="Arial" w:eastAsia="仿宋_GB2312" w:cs="Arial"/>
          <w:bCs/>
          <w:color w:val="auto"/>
          <w:kern w:val="36"/>
        </w:rPr>
        <w:t>银行账</w:t>
      </w:r>
      <w:r>
        <w:rPr>
          <w:rFonts w:hint="eastAsia" w:ascii="仿宋_GB2312" w:hAnsi="Arial" w:eastAsia="仿宋_GB2312" w:cs="Arial"/>
          <w:bCs/>
          <w:color w:val="auto"/>
          <w:kern w:val="36"/>
          <w:lang w:eastAsia="zh-CN"/>
        </w:rPr>
        <w:t>户</w:t>
      </w:r>
      <w:r>
        <w:rPr>
          <w:rFonts w:hint="eastAsia" w:ascii="仿宋_GB2312" w:hAnsi="Arial" w:eastAsia="仿宋_GB2312" w:cs="Arial"/>
          <w:bCs/>
          <w:color w:val="auto"/>
          <w:kern w:val="36"/>
        </w:rPr>
        <w:t>。</w:t>
      </w:r>
    </w:p>
    <w:p w14:paraId="44BF88D7">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ascii="黑体" w:hAnsi="Arial" w:eastAsia="黑体" w:cs="Arial"/>
          <w:bCs/>
          <w:color w:val="auto"/>
          <w:kern w:val="36"/>
        </w:rPr>
      </w:pPr>
      <w:r>
        <w:rPr>
          <w:rFonts w:hint="eastAsia" w:ascii="黑体" w:hAnsi="Arial" w:eastAsia="黑体" w:cs="Arial"/>
          <w:bCs/>
          <w:color w:val="auto"/>
          <w:kern w:val="36"/>
        </w:rPr>
        <w:t>三、工作要求</w:t>
      </w:r>
    </w:p>
    <w:p w14:paraId="43EABD51">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ascii="仿宋_GB2312" w:hAnsi="Arial" w:eastAsia="仿宋_GB2312" w:cs="Arial"/>
          <w:bCs/>
          <w:color w:val="auto"/>
          <w:kern w:val="36"/>
        </w:rPr>
      </w:pPr>
      <w:r>
        <w:rPr>
          <w:rFonts w:hint="eastAsia" w:ascii="楷体_GB2312" w:hAnsi="Arial" w:eastAsia="楷体_GB2312" w:cs="Arial"/>
          <w:bCs/>
          <w:color w:val="auto"/>
          <w:kern w:val="36"/>
        </w:rPr>
        <w:t>（一）</w:t>
      </w:r>
      <w:r>
        <w:rPr>
          <w:rFonts w:hint="eastAsia" w:ascii="楷体_GB2312" w:hAnsi="Arial" w:eastAsia="楷体_GB2312" w:cs="Arial"/>
          <w:bCs/>
          <w:color w:val="auto"/>
          <w:kern w:val="36"/>
          <w:lang w:val="en-US" w:eastAsia="zh-CN"/>
        </w:rPr>
        <w:t>广泛</w:t>
      </w:r>
      <w:r>
        <w:rPr>
          <w:rFonts w:hint="eastAsia" w:ascii="楷体_GB2312" w:hAnsi="Arial" w:eastAsia="楷体_GB2312" w:cs="Arial"/>
          <w:bCs/>
          <w:color w:val="auto"/>
          <w:kern w:val="36"/>
        </w:rPr>
        <w:t>宣传</w:t>
      </w:r>
      <w:r>
        <w:rPr>
          <w:rFonts w:hint="eastAsia" w:ascii="楷体_GB2312" w:hAnsi="Arial" w:eastAsia="楷体_GB2312" w:cs="Arial"/>
          <w:bCs/>
          <w:color w:val="auto"/>
          <w:kern w:val="36"/>
          <w:lang w:val="en-US" w:eastAsia="zh-CN"/>
        </w:rPr>
        <w:t>引导</w:t>
      </w:r>
      <w:r>
        <w:rPr>
          <w:rFonts w:hint="eastAsia" w:ascii="楷体_GB2312" w:hAnsi="Arial" w:eastAsia="楷体_GB2312" w:cs="Arial"/>
          <w:bCs/>
          <w:color w:val="auto"/>
          <w:kern w:val="36"/>
        </w:rPr>
        <w:t>。</w:t>
      </w:r>
      <w:r>
        <w:rPr>
          <w:rFonts w:hint="eastAsia" w:ascii="仿宋_GB2312" w:eastAsia="仿宋_GB2312"/>
          <w:color w:val="auto"/>
        </w:rPr>
        <w:t>各市各学校要充分利用官方网站、微信公众号等平台，以设立专栏、政策宣讲等多种方式加强宣传，</w:t>
      </w:r>
      <w:r>
        <w:rPr>
          <w:rFonts w:hint="eastAsia" w:ascii="仿宋_GB2312" w:hAnsi="Arial" w:eastAsia="仿宋_GB2312" w:cs="Arial"/>
          <w:bCs/>
          <w:color w:val="auto"/>
          <w:kern w:val="36"/>
        </w:rPr>
        <w:t>扩大</w:t>
      </w:r>
      <w:r>
        <w:rPr>
          <w:rFonts w:hint="eastAsia" w:ascii="仿宋_GB2312" w:eastAsia="仿宋_GB2312"/>
          <w:color w:val="auto"/>
        </w:rPr>
        <w:t>政策</w:t>
      </w:r>
      <w:r>
        <w:rPr>
          <w:rFonts w:ascii="仿宋_GB2312" w:eastAsia="仿宋_GB2312"/>
          <w:color w:val="auto"/>
        </w:rPr>
        <w:t>宣传覆盖面和知晓度，</w:t>
      </w:r>
      <w:r>
        <w:rPr>
          <w:rFonts w:hint="eastAsia" w:ascii="仿宋_GB2312" w:eastAsia="仿宋_GB2312"/>
          <w:color w:val="auto"/>
        </w:rPr>
        <w:t>主动摸清符合申报条件的毕业生基本信息，</w:t>
      </w:r>
      <w:r>
        <w:rPr>
          <w:rFonts w:hint="eastAsia" w:ascii="仿宋_GB2312" w:eastAsia="仿宋_GB2312"/>
          <w:color w:val="auto"/>
          <w:lang w:eastAsia="zh-CN"/>
        </w:rPr>
        <w:t>详细说明补贴申请条件、申领程序、申请时间和注意事项</w:t>
      </w:r>
      <w:r>
        <w:rPr>
          <w:rFonts w:hint="eastAsia" w:ascii="仿宋_GB2312" w:hAnsi="Arial" w:eastAsia="仿宋_GB2312" w:cs="Arial"/>
          <w:bCs/>
          <w:color w:val="auto"/>
          <w:kern w:val="36"/>
        </w:rPr>
        <w:t>，</w:t>
      </w:r>
      <w:r>
        <w:rPr>
          <w:rFonts w:hint="eastAsia" w:ascii="仿宋_GB2312" w:eastAsia="仿宋_GB2312"/>
          <w:color w:val="auto"/>
        </w:rPr>
        <w:t>加强跟踪指导，</w:t>
      </w:r>
      <w:r>
        <w:rPr>
          <w:rFonts w:hint="eastAsia" w:ascii="仿宋_GB2312" w:hAnsi="Arial" w:eastAsia="仿宋_GB2312" w:cs="Arial"/>
          <w:bCs/>
          <w:color w:val="auto"/>
          <w:kern w:val="36"/>
        </w:rPr>
        <w:t>确保符合条件毕业生通知到位、应知尽知。</w:t>
      </w:r>
    </w:p>
    <w:p w14:paraId="1C0728B1">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ascii="仿宋_GB2312" w:hAnsi="Arial" w:eastAsia="仿宋_GB2312" w:cs="Arial"/>
          <w:bCs/>
          <w:color w:val="auto"/>
          <w:kern w:val="36"/>
        </w:rPr>
      </w:pPr>
      <w:r>
        <w:rPr>
          <w:rFonts w:hint="eastAsia" w:ascii="楷体_GB2312" w:hAnsi="Arial" w:eastAsia="楷体_GB2312" w:cs="Arial"/>
          <w:bCs/>
          <w:color w:val="auto"/>
          <w:kern w:val="36"/>
        </w:rPr>
        <w:t>（二）加强</w:t>
      </w:r>
      <w:r>
        <w:rPr>
          <w:rFonts w:hint="eastAsia" w:ascii="楷体_GB2312" w:hAnsi="Arial" w:eastAsia="楷体_GB2312" w:cs="Arial"/>
          <w:bCs/>
          <w:color w:val="auto"/>
          <w:kern w:val="36"/>
          <w:lang w:val="en-US" w:eastAsia="zh-CN"/>
        </w:rPr>
        <w:t>配合</w:t>
      </w:r>
      <w:r>
        <w:rPr>
          <w:rFonts w:hint="eastAsia" w:ascii="楷体_GB2312" w:hAnsi="Arial" w:eastAsia="楷体_GB2312" w:cs="Arial"/>
          <w:bCs/>
          <w:color w:val="auto"/>
          <w:kern w:val="36"/>
        </w:rPr>
        <w:t>协作。</w:t>
      </w:r>
      <w:r>
        <w:rPr>
          <w:rFonts w:hint="eastAsia" w:ascii="仿宋_GB2312" w:eastAsia="仿宋_GB2312"/>
          <w:color w:val="auto"/>
        </w:rPr>
        <w:t>各市各学校</w:t>
      </w:r>
      <w:r>
        <w:rPr>
          <w:rFonts w:hint="eastAsia" w:ascii="仿宋_GB2312" w:hAnsi="Arial" w:eastAsia="仿宋_GB2312" w:cs="Arial"/>
          <w:bCs/>
          <w:color w:val="auto"/>
          <w:kern w:val="36"/>
        </w:rPr>
        <w:t>要高度重视，明确任务分工，加强协调配合，共同做好毕业生</w:t>
      </w:r>
      <w:r>
        <w:rPr>
          <w:rFonts w:hint="eastAsia" w:ascii="仿宋_GB2312" w:hAnsi="Arial" w:eastAsia="仿宋_GB2312" w:cs="Arial"/>
          <w:bCs/>
          <w:color w:val="auto"/>
          <w:kern w:val="36"/>
          <w:lang w:eastAsia="zh-CN"/>
        </w:rPr>
        <w:t>一次性求职补贴</w:t>
      </w:r>
      <w:r>
        <w:rPr>
          <w:rFonts w:hint="eastAsia" w:ascii="仿宋_GB2312" w:hAnsi="Arial" w:eastAsia="仿宋_GB2312" w:cs="Arial"/>
          <w:bCs/>
          <w:color w:val="auto"/>
          <w:kern w:val="36"/>
        </w:rPr>
        <w:t>审核发放和困难毕业生就业创业服务工作。</w:t>
      </w:r>
    </w:p>
    <w:p w14:paraId="6D79EB31">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hint="eastAsia" w:ascii="仿宋_GB2312" w:hAnsi="Arial" w:eastAsia="仿宋_GB2312" w:cs="Arial"/>
          <w:bCs/>
          <w:color w:val="auto"/>
          <w:kern w:val="36"/>
        </w:rPr>
      </w:pPr>
      <w:r>
        <w:rPr>
          <w:rFonts w:hint="eastAsia" w:ascii="楷体_GB2312" w:hAnsi="Arial" w:eastAsia="楷体_GB2312" w:cs="Arial"/>
          <w:bCs/>
          <w:color w:val="auto"/>
          <w:kern w:val="36"/>
        </w:rPr>
        <w:t>（三）规范</w:t>
      </w:r>
      <w:r>
        <w:rPr>
          <w:rFonts w:hint="eastAsia" w:ascii="楷体_GB2312" w:hAnsi="Arial" w:eastAsia="楷体_GB2312" w:cs="Arial"/>
          <w:bCs/>
          <w:color w:val="auto"/>
          <w:kern w:val="36"/>
          <w:lang w:val="en-US" w:eastAsia="zh-CN"/>
        </w:rPr>
        <w:t>审核发放</w:t>
      </w:r>
      <w:r>
        <w:rPr>
          <w:rFonts w:hint="eastAsia" w:ascii="楷体_GB2312" w:hAnsi="Arial" w:eastAsia="楷体_GB2312" w:cs="Arial"/>
          <w:bCs/>
          <w:color w:val="auto"/>
          <w:kern w:val="36"/>
        </w:rPr>
        <w:t>。</w:t>
      </w:r>
      <w:r>
        <w:rPr>
          <w:rFonts w:hint="eastAsia" w:ascii="仿宋_GB2312" w:hAnsi="仿宋_GB2312" w:eastAsia="仿宋_GB2312" w:cs="仿宋_GB2312"/>
          <w:color w:val="auto"/>
        </w:rPr>
        <w:t>各市各学校要严格按照要求进行审核校验，</w:t>
      </w:r>
      <w:r>
        <w:rPr>
          <w:rFonts w:hint="eastAsia" w:ascii="仿宋_GB2312" w:hAnsi="仿宋_GB2312" w:eastAsia="仿宋_GB2312" w:cs="仿宋_GB2312"/>
          <w:color w:val="auto"/>
          <w:lang w:eastAsia="zh-CN"/>
        </w:rPr>
        <w:t>注意识别申请毕业生是否为毕业学年毕业生、是否曾申请享受补贴等信息</w:t>
      </w:r>
      <w:r>
        <w:rPr>
          <w:rFonts w:hint="eastAsia" w:ascii="仿宋_GB2312" w:hAnsi="仿宋_GB2312" w:eastAsia="仿宋_GB2312" w:cs="仿宋_GB2312"/>
          <w:color w:val="auto"/>
        </w:rPr>
        <w:t>。对系统审核校验不通过的，认真做好人工审核校验，</w:t>
      </w:r>
      <w:bookmarkStart w:id="0" w:name="_GoBack"/>
      <w:bookmarkEnd w:id="0"/>
      <w:r>
        <w:rPr>
          <w:rFonts w:hint="eastAsia" w:ascii="仿宋_GB2312" w:hAnsi="仿宋_GB2312" w:eastAsia="仿宋_GB2312" w:cs="仿宋_GB2312"/>
          <w:color w:val="auto"/>
        </w:rPr>
        <w:t>按照要求严格把好佐证材料审核关。</w:t>
      </w:r>
      <w:r>
        <w:rPr>
          <w:rFonts w:hint="eastAsia" w:ascii="仿宋_GB2312" w:hAnsi="Arial" w:eastAsia="仿宋_GB2312" w:cs="Arial"/>
          <w:bCs/>
          <w:color w:val="auto"/>
          <w:kern w:val="36"/>
        </w:rPr>
        <w:t>对申请人虚报冒领</w:t>
      </w:r>
      <w:r>
        <w:rPr>
          <w:rFonts w:hint="eastAsia" w:ascii="仿宋_GB2312" w:hAnsi="Arial" w:eastAsia="仿宋_GB2312" w:cs="Arial"/>
          <w:bCs/>
          <w:color w:val="auto"/>
          <w:kern w:val="36"/>
          <w:lang w:eastAsia="zh-CN"/>
        </w:rPr>
        <w:t>一次性求职补贴</w:t>
      </w:r>
      <w:r>
        <w:rPr>
          <w:rFonts w:hint="eastAsia" w:ascii="仿宋_GB2312" w:hAnsi="Arial" w:eastAsia="仿宋_GB2312" w:cs="Arial"/>
          <w:bCs/>
          <w:color w:val="auto"/>
          <w:kern w:val="36"/>
        </w:rPr>
        <w:t>的，由所属学校负责追回，并由各市负责督促学校于12月底前退回省人力资源社会保障厅。</w:t>
      </w:r>
    </w:p>
    <w:p w14:paraId="39BF98B2">
      <w:pPr>
        <w:keepNext w:val="0"/>
        <w:keepLines w:val="0"/>
        <w:pageBreakBefore w:val="0"/>
        <w:widowControl w:val="0"/>
        <w:kinsoku/>
        <w:wordWrap/>
        <w:overflowPunct/>
        <w:topLinePunct w:val="0"/>
        <w:autoSpaceDE/>
        <w:autoSpaceDN/>
        <w:bidi w:val="0"/>
        <w:adjustRightInd/>
        <w:snapToGrid/>
        <w:spacing w:line="586" w:lineRule="exact"/>
        <w:ind w:firstLine="632" w:firstLineChars="200"/>
        <w:jc w:val="left"/>
        <w:textAlignment w:val="auto"/>
        <w:outlineLvl w:val="0"/>
        <w:rPr>
          <w:rFonts w:ascii="仿宋_GB2312" w:hAnsi="Arial" w:eastAsia="仿宋_GB2312" w:cs="Arial"/>
          <w:bCs/>
          <w:color w:val="auto"/>
          <w:kern w:val="36"/>
        </w:rPr>
      </w:pPr>
    </w:p>
    <w:p w14:paraId="40343C71">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jc w:val="left"/>
        <w:textAlignment w:val="auto"/>
        <w:outlineLvl w:val="0"/>
        <w:rPr>
          <w:rFonts w:hint="eastAsia" w:ascii="仿宋_GB2312" w:hAnsi="Arial" w:eastAsia="仿宋_GB2312" w:cs="Arial"/>
          <w:bCs/>
          <w:color w:val="auto"/>
          <w:kern w:val="36"/>
        </w:rPr>
      </w:pPr>
      <w:r>
        <w:rPr>
          <w:rFonts w:hint="eastAsia" w:ascii="仿宋_GB2312" w:hAnsi="Arial" w:eastAsia="仿宋_GB2312" w:cs="Arial"/>
          <w:bCs/>
          <w:color w:val="auto"/>
          <w:kern w:val="36"/>
        </w:rPr>
        <w:t>附件：</w:t>
      </w:r>
      <w:r>
        <w:rPr>
          <w:rFonts w:hint="eastAsia" w:ascii="仿宋_GB2312" w:hAnsi="Arial" w:eastAsia="仿宋_GB2312" w:cs="Arial"/>
          <w:bCs/>
          <w:color w:val="auto"/>
          <w:kern w:val="36"/>
          <w:lang w:eastAsia="zh-CN"/>
        </w:rPr>
        <w:t>一次性求职补贴</w:t>
      </w:r>
      <w:r>
        <w:rPr>
          <w:rFonts w:hint="eastAsia" w:ascii="仿宋_GB2312" w:hAnsi="Arial" w:eastAsia="仿宋_GB2312" w:cs="Arial"/>
          <w:bCs/>
          <w:color w:val="auto"/>
          <w:kern w:val="36"/>
        </w:rPr>
        <w:t>申请佐证材料</w:t>
      </w:r>
    </w:p>
    <w:p w14:paraId="2BCE9BED">
      <w:pPr>
        <w:keepNext w:val="0"/>
        <w:keepLines w:val="0"/>
        <w:pageBreakBefore w:val="0"/>
        <w:widowControl w:val="0"/>
        <w:kinsoku/>
        <w:overflowPunct/>
        <w:topLinePunct w:val="0"/>
        <w:autoSpaceDE/>
        <w:autoSpaceDN/>
        <w:bidi w:val="0"/>
        <w:adjustRightInd/>
        <w:snapToGrid/>
        <w:spacing w:line="560" w:lineRule="exact"/>
        <w:ind w:leftChars="0"/>
        <w:jc w:val="left"/>
        <w:textAlignment w:val="auto"/>
        <w:outlineLvl w:val="0"/>
        <w:rPr>
          <w:rFonts w:ascii="仿宋_GB2312" w:hAnsi="Arial" w:eastAsia="仿宋_GB2312" w:cs="Arial"/>
          <w:bCs/>
          <w:color w:val="auto"/>
          <w:kern w:val="36"/>
        </w:rPr>
      </w:pPr>
    </w:p>
    <w:p w14:paraId="128EE792">
      <w:pPr>
        <w:keepNext w:val="0"/>
        <w:keepLines w:val="0"/>
        <w:pageBreakBefore w:val="0"/>
        <w:widowControl w:val="0"/>
        <w:kinsoku/>
        <w:overflowPunct/>
        <w:topLinePunct w:val="0"/>
        <w:autoSpaceDE/>
        <w:autoSpaceDN/>
        <w:bidi w:val="0"/>
        <w:adjustRightInd/>
        <w:snapToGrid/>
        <w:spacing w:line="560" w:lineRule="exact"/>
        <w:ind w:leftChars="0"/>
        <w:jc w:val="left"/>
        <w:textAlignment w:val="auto"/>
        <w:outlineLvl w:val="0"/>
        <w:rPr>
          <w:color w:val="auto"/>
        </w:rPr>
      </w:pPr>
    </w:p>
    <w:tbl>
      <w:tblPr>
        <w:tblStyle w:val="4"/>
        <w:tblW w:w="9027" w:type="dxa"/>
        <w:jc w:val="center"/>
        <w:tblLayout w:type="fixed"/>
        <w:tblCellMar>
          <w:top w:w="0" w:type="dxa"/>
          <w:left w:w="108" w:type="dxa"/>
          <w:bottom w:w="0" w:type="dxa"/>
          <w:right w:w="108" w:type="dxa"/>
        </w:tblCellMar>
      </w:tblPr>
      <w:tblGrid>
        <w:gridCol w:w="3005"/>
        <w:gridCol w:w="2778"/>
        <w:gridCol w:w="3244"/>
      </w:tblGrid>
      <w:tr w14:paraId="19D534A0">
        <w:tblPrEx>
          <w:tblCellMar>
            <w:top w:w="0" w:type="dxa"/>
            <w:left w:w="108" w:type="dxa"/>
            <w:bottom w:w="0" w:type="dxa"/>
            <w:right w:w="108" w:type="dxa"/>
          </w:tblCellMar>
        </w:tblPrEx>
        <w:trPr>
          <w:jc w:val="center"/>
        </w:trPr>
        <w:tc>
          <w:tcPr>
            <w:tcW w:w="3005" w:type="dxa"/>
            <w:vAlign w:val="center"/>
          </w:tcPr>
          <w:p w14:paraId="03E7958F">
            <w:pPr>
              <w:keepNext w:val="0"/>
              <w:keepLines w:val="0"/>
              <w:pageBreakBefore w:val="0"/>
              <w:widowControl w:val="0"/>
              <w:kinsoku/>
              <w:overflowPunct/>
              <w:topLinePunct w:val="0"/>
              <w:autoSpaceDE/>
              <w:autoSpaceDN/>
              <w:bidi w:val="0"/>
              <w:adjustRightInd/>
              <w:snapToGrid/>
              <w:spacing w:line="560" w:lineRule="exact"/>
              <w:ind w:leftChars="0"/>
              <w:jc w:val="center"/>
              <w:textAlignment w:val="auto"/>
              <w:outlineLvl w:val="0"/>
              <w:rPr>
                <w:rFonts w:ascii="仿宋_GB2312" w:hAnsi="Arial" w:eastAsia="仿宋_GB2312" w:cs="Arial"/>
                <w:bCs/>
                <w:color w:val="auto"/>
                <w:kern w:val="36"/>
              </w:rPr>
            </w:pPr>
            <w:r>
              <w:rPr>
                <w:rFonts w:hint="eastAsia" w:ascii="仿宋_GB2312" w:hAnsi="Arial" w:eastAsia="仿宋_GB2312" w:cs="Arial"/>
                <w:bCs/>
                <w:color w:val="auto"/>
                <w:kern w:val="36"/>
              </w:rPr>
              <w:t>山东省人力资源和社会保障厅</w:t>
            </w:r>
          </w:p>
        </w:tc>
        <w:tc>
          <w:tcPr>
            <w:tcW w:w="2778" w:type="dxa"/>
            <w:vAlign w:val="center"/>
          </w:tcPr>
          <w:p w14:paraId="43D0DDF2">
            <w:pPr>
              <w:keepNext w:val="0"/>
              <w:keepLines w:val="0"/>
              <w:pageBreakBefore w:val="0"/>
              <w:widowControl w:val="0"/>
              <w:kinsoku/>
              <w:overflowPunct/>
              <w:topLinePunct w:val="0"/>
              <w:autoSpaceDE/>
              <w:autoSpaceDN/>
              <w:bidi w:val="0"/>
              <w:adjustRightInd/>
              <w:snapToGrid/>
              <w:spacing w:line="560" w:lineRule="exact"/>
              <w:ind w:leftChars="0"/>
              <w:jc w:val="center"/>
              <w:textAlignment w:val="auto"/>
              <w:outlineLvl w:val="0"/>
              <w:rPr>
                <w:rFonts w:ascii="仿宋_GB2312" w:hAnsi="Arial" w:eastAsia="仿宋_GB2312" w:cs="Arial"/>
                <w:bCs/>
                <w:color w:val="auto"/>
                <w:kern w:val="36"/>
              </w:rPr>
            </w:pPr>
            <w:r>
              <w:rPr>
                <w:rFonts w:hint="eastAsia" w:ascii="仿宋_GB2312" w:hAnsi="Arial" w:eastAsia="仿宋_GB2312" w:cs="Arial"/>
                <w:bCs/>
                <w:color w:val="auto"/>
                <w:kern w:val="36"/>
              </w:rPr>
              <w:t>山东省教育厅</w:t>
            </w:r>
          </w:p>
        </w:tc>
        <w:tc>
          <w:tcPr>
            <w:tcW w:w="3244" w:type="dxa"/>
            <w:vAlign w:val="center"/>
          </w:tcPr>
          <w:p w14:paraId="2371562D">
            <w:pPr>
              <w:keepNext w:val="0"/>
              <w:keepLines w:val="0"/>
              <w:pageBreakBefore w:val="0"/>
              <w:widowControl w:val="0"/>
              <w:kinsoku/>
              <w:wordWrap/>
              <w:overflowPunct/>
              <w:topLinePunct w:val="0"/>
              <w:autoSpaceDE/>
              <w:autoSpaceDN/>
              <w:bidi w:val="0"/>
              <w:adjustRightInd/>
              <w:snapToGrid/>
              <w:spacing w:line="560" w:lineRule="exact"/>
              <w:ind w:leftChars="0"/>
              <w:jc w:val="center"/>
              <w:textAlignment w:val="auto"/>
              <w:outlineLvl w:val="0"/>
              <w:rPr>
                <w:rFonts w:ascii="仿宋_GB2312" w:hAnsi="Arial" w:eastAsia="仿宋_GB2312" w:cs="Arial"/>
                <w:bCs/>
                <w:color w:val="auto"/>
                <w:kern w:val="36"/>
              </w:rPr>
            </w:pPr>
            <w:r>
              <w:rPr>
                <w:rFonts w:hint="eastAsia" w:ascii="仿宋_GB2312" w:hAnsi="Arial" w:eastAsia="仿宋_GB2312" w:cs="Arial"/>
                <w:bCs/>
                <w:color w:val="auto"/>
                <w:kern w:val="36"/>
              </w:rPr>
              <w:t>山东省民政厅</w:t>
            </w:r>
          </w:p>
        </w:tc>
      </w:tr>
    </w:tbl>
    <w:p w14:paraId="49FBD428">
      <w:pPr>
        <w:keepNext w:val="0"/>
        <w:keepLines w:val="0"/>
        <w:pageBreakBefore w:val="0"/>
        <w:widowControl w:val="0"/>
        <w:tabs>
          <w:tab w:val="left" w:pos="3020"/>
          <w:tab w:val="left" w:pos="6040"/>
        </w:tabs>
        <w:kinsoku/>
        <w:overflowPunct/>
        <w:topLinePunct w:val="0"/>
        <w:autoSpaceDE/>
        <w:autoSpaceDN/>
        <w:bidi w:val="0"/>
        <w:adjustRightInd/>
        <w:snapToGrid/>
        <w:spacing w:line="560" w:lineRule="exact"/>
        <w:ind w:leftChars="0"/>
        <w:jc w:val="left"/>
        <w:textAlignment w:val="auto"/>
        <w:outlineLvl w:val="0"/>
        <w:rPr>
          <w:rFonts w:ascii="仿宋_GB2312" w:hAnsi="Arial" w:eastAsia="仿宋_GB2312" w:cs="Arial"/>
          <w:bCs/>
          <w:color w:val="auto"/>
          <w:kern w:val="36"/>
        </w:rPr>
      </w:pPr>
    </w:p>
    <w:p w14:paraId="780ACB0B">
      <w:pPr>
        <w:keepNext w:val="0"/>
        <w:keepLines w:val="0"/>
        <w:pageBreakBefore w:val="0"/>
        <w:widowControl w:val="0"/>
        <w:tabs>
          <w:tab w:val="left" w:pos="3020"/>
          <w:tab w:val="left" w:pos="6040"/>
        </w:tabs>
        <w:kinsoku/>
        <w:overflowPunct/>
        <w:topLinePunct w:val="0"/>
        <w:autoSpaceDE/>
        <w:autoSpaceDN/>
        <w:bidi w:val="0"/>
        <w:adjustRightInd/>
        <w:snapToGrid/>
        <w:spacing w:line="560" w:lineRule="exact"/>
        <w:ind w:leftChars="0"/>
        <w:textAlignment w:val="auto"/>
        <w:rPr>
          <w:color w:val="auto"/>
        </w:rPr>
      </w:pPr>
    </w:p>
    <w:tbl>
      <w:tblPr>
        <w:tblStyle w:val="4"/>
        <w:tblW w:w="9027" w:type="dxa"/>
        <w:jc w:val="center"/>
        <w:tblLayout w:type="fixed"/>
        <w:tblCellMar>
          <w:top w:w="0" w:type="dxa"/>
          <w:left w:w="108" w:type="dxa"/>
          <w:bottom w:w="0" w:type="dxa"/>
          <w:right w:w="108" w:type="dxa"/>
        </w:tblCellMar>
      </w:tblPr>
      <w:tblGrid>
        <w:gridCol w:w="3005"/>
        <w:gridCol w:w="1508"/>
        <w:gridCol w:w="1270"/>
        <w:gridCol w:w="3244"/>
      </w:tblGrid>
      <w:tr w14:paraId="6293DC0E">
        <w:tblPrEx>
          <w:tblCellMar>
            <w:top w:w="0" w:type="dxa"/>
            <w:left w:w="108" w:type="dxa"/>
            <w:bottom w:w="0" w:type="dxa"/>
            <w:right w:w="108" w:type="dxa"/>
          </w:tblCellMar>
        </w:tblPrEx>
        <w:trPr>
          <w:jc w:val="center"/>
        </w:trPr>
        <w:tc>
          <w:tcPr>
            <w:tcW w:w="3005" w:type="dxa"/>
            <w:vAlign w:val="center"/>
          </w:tcPr>
          <w:p w14:paraId="7FC5E2E9">
            <w:pPr>
              <w:keepNext w:val="0"/>
              <w:keepLines w:val="0"/>
              <w:pageBreakBefore w:val="0"/>
              <w:widowControl w:val="0"/>
              <w:kinsoku/>
              <w:overflowPunct/>
              <w:topLinePunct w:val="0"/>
              <w:autoSpaceDE/>
              <w:autoSpaceDN/>
              <w:bidi w:val="0"/>
              <w:adjustRightInd/>
              <w:snapToGrid/>
              <w:spacing w:line="560" w:lineRule="exact"/>
              <w:ind w:leftChars="0"/>
              <w:jc w:val="center"/>
              <w:textAlignment w:val="auto"/>
              <w:outlineLvl w:val="0"/>
              <w:rPr>
                <w:rFonts w:ascii="仿宋_GB2312" w:hAnsi="Arial" w:eastAsia="仿宋_GB2312" w:cs="Arial"/>
                <w:bCs/>
                <w:color w:val="auto"/>
                <w:kern w:val="36"/>
              </w:rPr>
            </w:pPr>
            <w:r>
              <w:rPr>
                <w:rFonts w:hint="eastAsia" w:ascii="仿宋_GB2312" w:hAnsi="Arial" w:eastAsia="仿宋_GB2312" w:cs="Arial"/>
                <w:bCs/>
                <w:color w:val="auto"/>
                <w:kern w:val="36"/>
              </w:rPr>
              <w:t>山东省财政厅</w:t>
            </w:r>
          </w:p>
        </w:tc>
        <w:tc>
          <w:tcPr>
            <w:tcW w:w="2778" w:type="dxa"/>
            <w:gridSpan w:val="2"/>
            <w:vAlign w:val="center"/>
          </w:tcPr>
          <w:p w14:paraId="364F399F">
            <w:pPr>
              <w:keepNext w:val="0"/>
              <w:keepLines w:val="0"/>
              <w:pageBreakBefore w:val="0"/>
              <w:widowControl w:val="0"/>
              <w:kinsoku/>
              <w:overflowPunct/>
              <w:topLinePunct w:val="0"/>
              <w:autoSpaceDE/>
              <w:autoSpaceDN/>
              <w:bidi w:val="0"/>
              <w:adjustRightInd/>
              <w:snapToGrid/>
              <w:spacing w:line="560" w:lineRule="exact"/>
              <w:ind w:leftChars="0"/>
              <w:jc w:val="center"/>
              <w:textAlignment w:val="auto"/>
              <w:outlineLvl w:val="0"/>
              <w:rPr>
                <w:rFonts w:ascii="仿宋_GB2312" w:hAnsi="Arial" w:eastAsia="仿宋_GB2312" w:cs="Arial"/>
                <w:bCs/>
                <w:color w:val="auto"/>
                <w:kern w:val="36"/>
              </w:rPr>
            </w:pPr>
            <w:r>
              <w:rPr>
                <w:rFonts w:hint="eastAsia" w:ascii="仿宋_GB2312" w:hAnsi="Arial" w:eastAsia="仿宋_GB2312" w:cs="Arial"/>
                <w:bCs/>
                <w:color w:val="auto"/>
                <w:kern w:val="36"/>
              </w:rPr>
              <w:t>山东省</w:t>
            </w:r>
            <w:r>
              <w:rPr>
                <w:rFonts w:hint="eastAsia" w:ascii="仿宋_GB2312" w:hAnsi="Arial" w:eastAsia="仿宋_GB2312" w:cs="Arial"/>
                <w:bCs/>
                <w:color w:val="auto"/>
                <w:kern w:val="36"/>
                <w:lang w:eastAsia="zh-CN"/>
              </w:rPr>
              <w:t>农业农村</w:t>
            </w:r>
            <w:r>
              <w:rPr>
                <w:rFonts w:hint="eastAsia" w:ascii="仿宋_GB2312" w:hAnsi="Arial" w:eastAsia="仿宋_GB2312" w:cs="Arial"/>
                <w:bCs/>
                <w:color w:val="auto"/>
                <w:kern w:val="36"/>
              </w:rPr>
              <w:t>厅</w:t>
            </w:r>
          </w:p>
        </w:tc>
        <w:tc>
          <w:tcPr>
            <w:tcW w:w="3244" w:type="dxa"/>
            <w:vAlign w:val="center"/>
          </w:tcPr>
          <w:p w14:paraId="09DCB1EF">
            <w:pPr>
              <w:keepNext w:val="0"/>
              <w:keepLines w:val="0"/>
              <w:pageBreakBefore w:val="0"/>
              <w:widowControl w:val="0"/>
              <w:kinsoku/>
              <w:wordWrap/>
              <w:overflowPunct/>
              <w:topLinePunct w:val="0"/>
              <w:autoSpaceDE/>
              <w:autoSpaceDN/>
              <w:bidi w:val="0"/>
              <w:adjustRightInd/>
              <w:snapToGrid/>
              <w:spacing w:line="560" w:lineRule="exact"/>
              <w:ind w:leftChars="0"/>
              <w:jc w:val="center"/>
              <w:textAlignment w:val="auto"/>
              <w:outlineLvl w:val="0"/>
              <w:rPr>
                <w:rFonts w:ascii="仿宋_GB2312" w:hAnsi="Arial" w:eastAsia="仿宋_GB2312" w:cs="Arial"/>
                <w:bCs/>
                <w:color w:val="auto"/>
                <w:kern w:val="36"/>
              </w:rPr>
            </w:pPr>
            <w:r>
              <w:rPr>
                <w:rFonts w:hint="eastAsia" w:ascii="仿宋_GB2312" w:hAnsi="Arial" w:eastAsia="仿宋_GB2312" w:cs="Arial"/>
                <w:bCs/>
                <w:color w:val="auto"/>
                <w:kern w:val="36"/>
              </w:rPr>
              <w:t>山东省残疾人联合会</w:t>
            </w:r>
          </w:p>
        </w:tc>
      </w:tr>
      <w:tr w14:paraId="204EAE08">
        <w:tblPrEx>
          <w:tblCellMar>
            <w:top w:w="0" w:type="dxa"/>
            <w:left w:w="108" w:type="dxa"/>
            <w:bottom w:w="0" w:type="dxa"/>
            <w:right w:w="108" w:type="dxa"/>
          </w:tblCellMar>
        </w:tblPrEx>
        <w:trPr>
          <w:jc w:val="center"/>
        </w:trPr>
        <w:tc>
          <w:tcPr>
            <w:tcW w:w="4513" w:type="dxa"/>
            <w:gridSpan w:val="2"/>
            <w:vAlign w:val="center"/>
          </w:tcPr>
          <w:p w14:paraId="3C919B44">
            <w:pPr>
              <w:keepNext w:val="0"/>
              <w:keepLines w:val="0"/>
              <w:pageBreakBefore w:val="0"/>
              <w:widowControl w:val="0"/>
              <w:kinsoku/>
              <w:wordWrap/>
              <w:overflowPunct/>
              <w:topLinePunct w:val="0"/>
              <w:autoSpaceDE/>
              <w:autoSpaceDN/>
              <w:bidi w:val="0"/>
              <w:adjustRightInd/>
              <w:snapToGrid/>
              <w:spacing w:line="560" w:lineRule="exact"/>
              <w:ind w:leftChars="0"/>
              <w:jc w:val="center"/>
              <w:textAlignment w:val="auto"/>
              <w:outlineLvl w:val="0"/>
              <w:rPr>
                <w:rFonts w:hint="eastAsia" w:ascii="仿宋_GB2312" w:hAnsi="Arial" w:eastAsia="仿宋_GB2312" w:cs="Arial"/>
                <w:bCs/>
                <w:color w:val="auto"/>
                <w:kern w:val="36"/>
              </w:rPr>
            </w:pPr>
          </w:p>
        </w:tc>
        <w:tc>
          <w:tcPr>
            <w:tcW w:w="4514" w:type="dxa"/>
            <w:gridSpan w:val="2"/>
            <w:vAlign w:val="center"/>
          </w:tcPr>
          <w:p w14:paraId="094FBF92">
            <w:pPr>
              <w:keepNext w:val="0"/>
              <w:keepLines w:val="0"/>
              <w:pageBreakBefore w:val="0"/>
              <w:widowControl w:val="0"/>
              <w:kinsoku/>
              <w:wordWrap/>
              <w:overflowPunct/>
              <w:topLinePunct w:val="0"/>
              <w:autoSpaceDE/>
              <w:autoSpaceDN/>
              <w:bidi w:val="0"/>
              <w:adjustRightInd/>
              <w:snapToGrid/>
              <w:spacing w:line="560" w:lineRule="exact"/>
              <w:ind w:leftChars="0"/>
              <w:jc w:val="center"/>
              <w:textAlignment w:val="auto"/>
              <w:outlineLvl w:val="0"/>
              <w:rPr>
                <w:rFonts w:hint="eastAsia" w:ascii="仿宋_GB2312" w:hAnsi="Arial" w:eastAsia="仿宋_GB2312" w:cs="Arial"/>
                <w:bCs/>
                <w:color w:val="auto"/>
                <w:kern w:val="36"/>
              </w:rPr>
            </w:pPr>
            <w:r>
              <w:rPr>
                <w:rFonts w:hint="eastAsia" w:ascii="仿宋_GB2312" w:hAnsi="Arial" w:eastAsia="仿宋_GB2312" w:cs="Arial"/>
                <w:bCs/>
                <w:color w:val="auto"/>
                <w:kern w:val="36"/>
                <w:lang w:val="en-US" w:eastAsia="zh-CN"/>
              </w:rPr>
              <w:t>2</w:t>
            </w:r>
            <w:r>
              <w:rPr>
                <w:rFonts w:hint="eastAsia" w:ascii="仿宋_GB2312" w:hAnsi="Arial" w:eastAsia="仿宋_GB2312" w:cs="Arial"/>
                <w:bCs/>
                <w:color w:val="auto"/>
                <w:kern w:val="36"/>
              </w:rPr>
              <w:t>02</w:t>
            </w:r>
            <w:r>
              <w:rPr>
                <w:rFonts w:hint="eastAsia" w:ascii="仿宋_GB2312" w:hAnsi="Arial" w:eastAsia="仿宋_GB2312" w:cs="Arial"/>
                <w:bCs/>
                <w:color w:val="auto"/>
                <w:kern w:val="36"/>
                <w:lang w:val="en-US" w:eastAsia="zh-CN"/>
              </w:rPr>
              <w:t>5</w:t>
            </w:r>
            <w:r>
              <w:rPr>
                <w:rFonts w:hint="eastAsia" w:ascii="仿宋_GB2312" w:hAnsi="Arial" w:eastAsia="仿宋_GB2312" w:cs="Arial"/>
                <w:bCs/>
                <w:color w:val="auto"/>
                <w:kern w:val="36"/>
              </w:rPr>
              <w:t>年</w:t>
            </w:r>
            <w:r>
              <w:rPr>
                <w:rFonts w:hint="eastAsia" w:ascii="仿宋_GB2312" w:hAnsi="Arial" w:eastAsia="仿宋_GB2312" w:cs="Arial"/>
                <w:bCs/>
                <w:color w:val="auto"/>
                <w:kern w:val="36"/>
                <w:lang w:val="en-US" w:eastAsia="zh-CN"/>
              </w:rPr>
              <w:t>8</w:t>
            </w:r>
            <w:r>
              <w:rPr>
                <w:rFonts w:hint="eastAsia" w:ascii="仿宋_GB2312" w:hAnsi="Arial" w:eastAsia="仿宋_GB2312" w:cs="Arial"/>
                <w:bCs/>
                <w:color w:val="auto"/>
                <w:kern w:val="36"/>
              </w:rPr>
              <w:t>月</w:t>
            </w:r>
            <w:r>
              <w:rPr>
                <w:rFonts w:hint="eastAsia" w:ascii="仿宋_GB2312" w:hAnsi="Arial" w:eastAsia="仿宋_GB2312" w:cs="Arial"/>
                <w:bCs/>
                <w:color w:val="auto"/>
                <w:kern w:val="36"/>
                <w:lang w:val="en-US" w:eastAsia="zh-CN"/>
              </w:rPr>
              <w:t>20</w:t>
            </w:r>
            <w:r>
              <w:rPr>
                <w:rFonts w:hint="eastAsia" w:ascii="仿宋_GB2312" w:hAnsi="Arial" w:eastAsia="仿宋_GB2312" w:cs="Arial"/>
                <w:bCs/>
                <w:color w:val="auto"/>
                <w:kern w:val="36"/>
              </w:rPr>
              <w:t>日</w:t>
            </w:r>
          </w:p>
        </w:tc>
      </w:tr>
    </w:tbl>
    <w:p w14:paraId="7DF3DD37">
      <w:pPr>
        <w:keepNext w:val="0"/>
        <w:keepLines w:val="0"/>
        <w:pageBreakBefore w:val="0"/>
        <w:widowControl w:val="0"/>
        <w:kinsoku/>
        <w:wordWrap w:val="0"/>
        <w:overflowPunct/>
        <w:topLinePunct w:val="0"/>
        <w:autoSpaceDE/>
        <w:autoSpaceDN/>
        <w:bidi w:val="0"/>
        <w:adjustRightInd/>
        <w:snapToGrid/>
        <w:spacing w:line="560" w:lineRule="exact"/>
        <w:ind w:leftChars="0"/>
        <w:jc w:val="right"/>
        <w:textAlignment w:val="auto"/>
        <w:outlineLvl w:val="0"/>
        <w:rPr>
          <w:rFonts w:ascii="仿宋_GB2312" w:hAnsi="Arial" w:eastAsia="仿宋_GB2312" w:cs="Arial"/>
          <w:bCs/>
          <w:color w:val="auto"/>
          <w:kern w:val="36"/>
        </w:rPr>
      </w:pPr>
    </w:p>
    <w:p w14:paraId="5C0B2E21">
      <w:pPr>
        <w:keepNext w:val="0"/>
        <w:keepLines w:val="0"/>
        <w:pageBreakBefore w:val="0"/>
        <w:widowControl w:val="0"/>
        <w:kinsoku/>
        <w:overflowPunct/>
        <w:topLinePunct w:val="0"/>
        <w:autoSpaceDE/>
        <w:autoSpaceDN/>
        <w:bidi w:val="0"/>
        <w:adjustRightInd/>
        <w:snapToGrid/>
        <w:spacing w:line="560" w:lineRule="exact"/>
        <w:ind w:leftChars="0" w:firstLine="632" w:firstLineChars="200"/>
        <w:textAlignment w:val="auto"/>
        <w:rPr>
          <w:rFonts w:ascii="仿宋_GB2312" w:eastAsia="仿宋_GB2312"/>
          <w:color w:val="auto"/>
        </w:rPr>
      </w:pPr>
      <w:r>
        <w:rPr>
          <w:rFonts w:hint="eastAsia" w:ascii="仿宋_GB2312" w:eastAsia="仿宋_GB2312"/>
          <w:color w:val="auto"/>
        </w:rPr>
        <w:t>（此件主动公开）</w:t>
      </w:r>
    </w:p>
    <w:p w14:paraId="655C5934">
      <w:pPr>
        <w:keepNext w:val="0"/>
        <w:keepLines w:val="0"/>
        <w:pageBreakBefore w:val="0"/>
        <w:widowControl w:val="0"/>
        <w:kinsoku/>
        <w:overflowPunct/>
        <w:topLinePunct w:val="0"/>
        <w:autoSpaceDE/>
        <w:autoSpaceDN/>
        <w:bidi w:val="0"/>
        <w:adjustRightInd/>
        <w:snapToGrid/>
        <w:spacing w:line="560" w:lineRule="exact"/>
        <w:ind w:leftChars="0" w:firstLine="632" w:firstLineChars="200"/>
        <w:textAlignment w:val="auto"/>
        <w:rPr>
          <w:rFonts w:ascii="仿宋_GB2312" w:eastAsia="仿宋_GB2312"/>
          <w:color w:val="auto"/>
        </w:rPr>
      </w:pPr>
      <w:r>
        <w:rPr>
          <w:rFonts w:hint="eastAsia" w:ascii="仿宋_GB2312" w:eastAsia="仿宋_GB2312"/>
          <w:color w:val="auto"/>
        </w:rPr>
        <w:t>（联系单位:省公共就业和人才服务中心就业服务处）</w:t>
      </w:r>
    </w:p>
    <w:p w14:paraId="0E9C839B">
      <w:pPr>
        <w:keepNext w:val="0"/>
        <w:keepLines w:val="0"/>
        <w:pageBreakBefore w:val="0"/>
        <w:widowControl w:val="0"/>
        <w:kinsoku/>
        <w:wordWrap/>
        <w:overflowPunct/>
        <w:topLinePunct w:val="0"/>
        <w:autoSpaceDE/>
        <w:autoSpaceDN/>
        <w:bidi w:val="0"/>
        <w:adjustRightInd/>
        <w:snapToGrid/>
        <w:spacing w:line="586" w:lineRule="exact"/>
        <w:ind w:leftChars="0"/>
        <w:jc w:val="left"/>
        <w:textAlignment w:val="auto"/>
        <w:rPr>
          <w:rFonts w:hint="eastAsia" w:ascii="黑体" w:hAnsi="宋体" w:eastAsia="黑体"/>
          <w:color w:val="auto"/>
          <w:lang w:val="en-US" w:eastAsia="zh-CN"/>
        </w:rPr>
      </w:pPr>
      <w:r>
        <w:rPr>
          <w:rFonts w:ascii="仿宋_GB2312" w:eastAsia="仿宋_GB2312"/>
          <w:color w:val="auto"/>
        </w:rPr>
        <w:br w:type="page"/>
      </w:r>
      <w:r>
        <w:rPr>
          <w:rFonts w:hint="eastAsia" w:ascii="黑体" w:hAnsi="宋体" w:eastAsia="黑体"/>
          <w:color w:val="auto"/>
        </w:rPr>
        <w:t>附</w:t>
      </w:r>
      <w:r>
        <w:rPr>
          <w:rFonts w:hint="eastAsia" w:ascii="黑体" w:hAnsi="宋体" w:eastAsia="黑体"/>
          <w:color w:val="auto"/>
          <w:lang w:eastAsia="zh"/>
        </w:rPr>
        <w:t xml:space="preserve"> </w:t>
      </w:r>
      <w:r>
        <w:rPr>
          <w:rFonts w:hint="eastAsia" w:ascii="黑体" w:hAnsi="宋体" w:eastAsia="黑体"/>
          <w:color w:val="auto"/>
        </w:rPr>
        <w:t>件</w:t>
      </w:r>
    </w:p>
    <w:p w14:paraId="25BBBADE">
      <w:pPr>
        <w:keepNext w:val="0"/>
        <w:keepLines w:val="0"/>
        <w:pageBreakBefore w:val="0"/>
        <w:widowControl w:val="0"/>
        <w:kinsoku/>
        <w:wordWrap/>
        <w:overflowPunct/>
        <w:topLinePunct w:val="0"/>
        <w:autoSpaceDE/>
        <w:autoSpaceDN/>
        <w:bidi w:val="0"/>
        <w:adjustRightInd/>
        <w:snapToGrid/>
        <w:spacing w:line="586" w:lineRule="exact"/>
        <w:ind w:leftChars="0"/>
        <w:jc w:val="left"/>
        <w:textAlignment w:val="auto"/>
        <w:rPr>
          <w:rFonts w:ascii="黑体" w:hAnsi="宋体" w:eastAsia="黑体"/>
          <w:color w:val="auto"/>
        </w:rPr>
      </w:pPr>
    </w:p>
    <w:p w14:paraId="240100C9">
      <w:pPr>
        <w:keepNext w:val="0"/>
        <w:keepLines w:val="0"/>
        <w:pageBreakBefore w:val="0"/>
        <w:widowControl w:val="0"/>
        <w:kinsoku/>
        <w:wordWrap/>
        <w:overflowPunct/>
        <w:topLinePunct w:val="0"/>
        <w:autoSpaceDE/>
        <w:autoSpaceDN/>
        <w:bidi w:val="0"/>
        <w:adjustRightInd/>
        <w:snapToGrid/>
        <w:spacing w:line="586" w:lineRule="exact"/>
        <w:ind w:leftChars="0"/>
        <w:jc w:val="center"/>
        <w:textAlignment w:val="auto"/>
        <w:outlineLvl w:val="0"/>
        <w:rPr>
          <w:rFonts w:hint="eastAsia" w:ascii="方正小标宋简体" w:hAnsi="方正小标宋简体" w:eastAsia="方正小标宋简体" w:cs="方正小标宋简体"/>
          <w:bCs/>
          <w:color w:val="auto"/>
          <w:kern w:val="36"/>
          <w:sz w:val="44"/>
          <w:szCs w:val="44"/>
          <w:lang w:val="en-US" w:eastAsia="zh-CN"/>
        </w:rPr>
      </w:pPr>
      <w:r>
        <w:rPr>
          <w:rFonts w:hint="eastAsia" w:ascii="方正小标宋简体" w:hAnsi="方正小标宋简体" w:eastAsia="方正小标宋简体" w:cs="方正小标宋简体"/>
          <w:bCs/>
          <w:color w:val="auto"/>
          <w:kern w:val="36"/>
          <w:sz w:val="44"/>
          <w:szCs w:val="44"/>
          <w:lang w:eastAsia="zh-CN"/>
        </w:rPr>
        <w:t>一次性求职补贴</w:t>
      </w:r>
      <w:r>
        <w:rPr>
          <w:rFonts w:hint="eastAsia" w:ascii="方正小标宋简体" w:hAnsi="方正小标宋简体" w:eastAsia="方正小标宋简体" w:cs="方正小标宋简体"/>
          <w:bCs/>
          <w:color w:val="auto"/>
          <w:kern w:val="36"/>
          <w:sz w:val="44"/>
          <w:szCs w:val="44"/>
        </w:rPr>
        <w:t>申请佐证材料</w:t>
      </w:r>
    </w:p>
    <w:p w14:paraId="6C06425F">
      <w:pPr>
        <w:keepNext w:val="0"/>
        <w:keepLines w:val="0"/>
        <w:pageBreakBefore w:val="0"/>
        <w:widowControl w:val="0"/>
        <w:kinsoku/>
        <w:wordWrap/>
        <w:overflowPunct/>
        <w:topLinePunct w:val="0"/>
        <w:autoSpaceDE/>
        <w:autoSpaceDN/>
        <w:bidi w:val="0"/>
        <w:adjustRightInd/>
        <w:snapToGrid/>
        <w:spacing w:line="586" w:lineRule="exact"/>
        <w:ind w:leftChars="0"/>
        <w:textAlignment w:val="auto"/>
        <w:rPr>
          <w:rFonts w:hint="eastAsia" w:ascii="仿宋_GB2312" w:hAnsi="仿宋_GB2312" w:eastAsia="仿宋_GB2312" w:cs="仿宋_GB2312"/>
          <w:color w:val="auto"/>
        </w:rPr>
      </w:pPr>
    </w:p>
    <w:p w14:paraId="30C8A009">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hint="default" w:eastAsia="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未</w:t>
      </w:r>
      <w:r>
        <w:rPr>
          <w:rFonts w:hint="eastAsia" w:ascii="仿宋_GB2312" w:hAnsi="仿宋_GB2312" w:eastAsia="仿宋_GB2312" w:cs="仿宋_GB2312"/>
          <w:color w:val="auto"/>
          <w:sz w:val="32"/>
          <w:szCs w:val="32"/>
        </w:rPr>
        <w:t>通过系统大数据校验比对</w:t>
      </w:r>
      <w:r>
        <w:rPr>
          <w:rFonts w:hint="eastAsia" w:ascii="仿宋_GB2312" w:hAnsi="仿宋_GB2312" w:eastAsia="仿宋_GB2312" w:cs="仿宋_GB2312"/>
          <w:color w:val="auto"/>
          <w:sz w:val="32"/>
          <w:szCs w:val="32"/>
          <w:lang w:val="en-US" w:eastAsia="zh-CN"/>
        </w:rPr>
        <w:t>的，需提供以下佐证材料：</w:t>
      </w:r>
    </w:p>
    <w:p w14:paraId="5C2FC993">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left="0" w:leftChars="0" w:firstLine="632"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kern w:val="2"/>
          <w:sz w:val="32"/>
          <w:szCs w:val="32"/>
          <w:lang w:val="en-US" w:eastAsia="zh-CN" w:bidi="ar-SA"/>
        </w:rPr>
        <w:t>一、</w:t>
      </w:r>
      <w:r>
        <w:rPr>
          <w:rFonts w:hint="eastAsia" w:ascii="黑体" w:hAnsi="黑体" w:eastAsia="黑体" w:cs="黑体"/>
          <w:color w:val="auto"/>
          <w:sz w:val="32"/>
          <w:szCs w:val="32"/>
          <w:lang w:val="en-US" w:eastAsia="zh-CN"/>
        </w:rPr>
        <w:t>城乡居民最低生活保障家庭毕业生佐证材料要求</w:t>
      </w:r>
    </w:p>
    <w:p w14:paraId="32341509">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毕业生本人</w:t>
      </w:r>
      <w:r>
        <w:rPr>
          <w:rFonts w:hint="eastAsia" w:ascii="仿宋_GB2312" w:eastAsia="仿宋_GB2312"/>
          <w:color w:val="auto"/>
          <w:sz w:val="32"/>
          <w:szCs w:val="32"/>
        </w:rPr>
        <w:t>所在</w:t>
      </w:r>
      <w:r>
        <w:rPr>
          <w:rFonts w:hint="default" w:ascii="仿宋_GB2312" w:eastAsia="仿宋_GB2312"/>
          <w:color w:val="auto"/>
          <w:sz w:val="32"/>
          <w:szCs w:val="32"/>
          <w:lang w:val="en-US" w:eastAsia="zh-CN"/>
        </w:rPr>
        <w:t>县（市、区）民政部门</w:t>
      </w:r>
      <w:r>
        <w:rPr>
          <w:rFonts w:hint="eastAsia" w:ascii="仿宋_GB2312" w:eastAsia="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乡镇政府（街道办事处）</w:t>
      </w:r>
      <w:r>
        <w:rPr>
          <w:rFonts w:hint="eastAsia" w:ascii="仿宋_GB2312" w:eastAsia="仿宋_GB2312"/>
          <w:color w:val="auto"/>
          <w:sz w:val="32"/>
          <w:szCs w:val="32"/>
        </w:rPr>
        <w:t>出具的</w:t>
      </w:r>
      <w:r>
        <w:rPr>
          <w:rFonts w:ascii="仿宋_GB2312" w:eastAsia="仿宋_GB2312"/>
          <w:color w:val="auto"/>
          <w:sz w:val="32"/>
          <w:szCs w:val="32"/>
        </w:rPr>
        <w:t>证明</w:t>
      </w:r>
      <w:r>
        <w:rPr>
          <w:rFonts w:hint="eastAsia" w:ascii="仿宋_GB2312" w:eastAsia="仿宋_GB2312"/>
          <w:color w:val="auto"/>
          <w:sz w:val="32"/>
          <w:szCs w:val="32"/>
        </w:rPr>
        <w:t>材料</w:t>
      </w:r>
      <w:r>
        <w:rPr>
          <w:rFonts w:hint="eastAsia" w:ascii="仿宋_GB2312" w:hAnsi="仿宋_GB2312" w:eastAsia="仿宋_GB2312" w:cs="仿宋_GB2312"/>
          <w:color w:val="auto"/>
          <w:sz w:val="32"/>
          <w:szCs w:val="32"/>
          <w:lang w:val="en-US" w:eastAsia="zh-CN"/>
        </w:rPr>
        <w:t>。</w:t>
      </w:r>
    </w:p>
    <w:p w14:paraId="78560C54">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left="0" w:leftChars="0" w:firstLine="632"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kern w:val="2"/>
          <w:sz w:val="32"/>
          <w:szCs w:val="32"/>
          <w:lang w:val="en-US" w:eastAsia="zh-CN" w:bidi="ar-SA"/>
        </w:rPr>
        <w:t>二、</w:t>
      </w:r>
      <w:r>
        <w:rPr>
          <w:rFonts w:hint="eastAsia" w:ascii="黑体" w:hAnsi="黑体" w:eastAsia="黑体" w:cs="黑体"/>
          <w:color w:val="auto"/>
          <w:sz w:val="32"/>
          <w:szCs w:val="32"/>
          <w:lang w:val="en-US" w:eastAsia="zh-CN"/>
        </w:rPr>
        <w:t>特困人员毕业生佐证材料要求</w:t>
      </w:r>
    </w:p>
    <w:p w14:paraId="02B8E97F">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毕业生本人</w:t>
      </w:r>
      <w:r>
        <w:rPr>
          <w:rFonts w:hint="eastAsia" w:ascii="仿宋_GB2312" w:eastAsia="仿宋_GB2312"/>
          <w:color w:val="auto"/>
          <w:sz w:val="32"/>
          <w:szCs w:val="32"/>
        </w:rPr>
        <w:t>所在</w:t>
      </w:r>
      <w:r>
        <w:rPr>
          <w:rFonts w:hint="default" w:ascii="仿宋_GB2312" w:eastAsia="仿宋_GB2312"/>
          <w:color w:val="auto"/>
          <w:sz w:val="32"/>
          <w:szCs w:val="32"/>
          <w:lang w:val="en-US" w:eastAsia="zh-CN"/>
        </w:rPr>
        <w:t>县（市、区）民政部门</w:t>
      </w:r>
      <w:r>
        <w:rPr>
          <w:rFonts w:hint="eastAsia" w:ascii="仿宋_GB2312" w:eastAsia="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乡镇政府（街道办事处）</w:t>
      </w:r>
      <w:r>
        <w:rPr>
          <w:rFonts w:hint="eastAsia" w:ascii="仿宋_GB2312" w:eastAsia="仿宋_GB2312"/>
          <w:color w:val="auto"/>
          <w:sz w:val="32"/>
          <w:szCs w:val="32"/>
        </w:rPr>
        <w:t>出具的</w:t>
      </w:r>
      <w:r>
        <w:rPr>
          <w:rFonts w:ascii="仿宋_GB2312" w:eastAsia="仿宋_GB2312"/>
          <w:color w:val="auto"/>
          <w:sz w:val="32"/>
          <w:szCs w:val="32"/>
        </w:rPr>
        <w:t>证明</w:t>
      </w:r>
      <w:r>
        <w:rPr>
          <w:rFonts w:hint="eastAsia" w:ascii="仿宋_GB2312" w:eastAsia="仿宋_GB2312"/>
          <w:color w:val="auto"/>
          <w:sz w:val="32"/>
          <w:szCs w:val="32"/>
        </w:rPr>
        <w:t>材料</w:t>
      </w:r>
      <w:r>
        <w:rPr>
          <w:rFonts w:hint="eastAsia" w:ascii="仿宋_GB2312" w:eastAsia="仿宋_GB2312"/>
          <w:color w:val="auto"/>
          <w:sz w:val="32"/>
          <w:szCs w:val="32"/>
          <w:lang w:val="en-US" w:eastAsia="zh-CN"/>
        </w:rPr>
        <w:t>。</w:t>
      </w:r>
    </w:p>
    <w:p w14:paraId="62BA5171">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left="0" w:leftChars="0" w:firstLine="632"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kern w:val="2"/>
          <w:sz w:val="32"/>
          <w:szCs w:val="32"/>
          <w:lang w:val="en-US" w:eastAsia="zh-CN" w:bidi="ar-SA"/>
        </w:rPr>
        <w:t>三、</w:t>
      </w:r>
      <w:r>
        <w:rPr>
          <w:rFonts w:hint="eastAsia" w:ascii="黑体" w:hAnsi="黑体" w:eastAsia="黑体" w:cs="黑体"/>
          <w:color w:val="auto"/>
          <w:sz w:val="32"/>
          <w:szCs w:val="32"/>
          <w:lang w:val="en-US" w:eastAsia="zh-CN"/>
        </w:rPr>
        <w:t>防止返贫致贫监测对象</w:t>
      </w:r>
      <w:r>
        <w:rPr>
          <w:rFonts w:hint="default" w:ascii="黑体" w:hAnsi="黑体" w:eastAsia="黑体" w:cs="黑体"/>
          <w:color w:val="auto"/>
          <w:sz w:val="32"/>
          <w:szCs w:val="32"/>
          <w:lang w:val="en-US" w:eastAsia="zh-CN"/>
        </w:rPr>
        <w:t>家庭毕业生</w:t>
      </w:r>
      <w:r>
        <w:rPr>
          <w:rFonts w:hint="eastAsia" w:ascii="黑体" w:hAnsi="黑体" w:eastAsia="黑体" w:cs="黑体"/>
          <w:color w:val="auto"/>
          <w:sz w:val="32"/>
          <w:szCs w:val="32"/>
          <w:lang w:val="en-US" w:eastAsia="zh-CN"/>
        </w:rPr>
        <w:t>佐证材料要求</w:t>
      </w:r>
    </w:p>
    <w:p w14:paraId="4A53AC1C">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由所在县（市、区）农业农村部门/乡镇政府（街道办事处）出具的证明材料；或在全国防止返贫监测和衔接推进乡村振兴信息系统中查询到的防止返贫致贫监测对象家庭基本信息打印（复印）件，并加盖所在县（市、区）级及以上农业农村部门/乡镇政府（街道办事处）公章，同时，提供</w:t>
      </w:r>
      <w:r>
        <w:rPr>
          <w:rFonts w:hint="default" w:ascii="仿宋_GB2312" w:eastAsia="仿宋_GB2312"/>
          <w:color w:val="auto"/>
          <w:sz w:val="32"/>
          <w:szCs w:val="32"/>
          <w:lang w:val="en-US" w:eastAsia="zh-CN"/>
        </w:rPr>
        <w:t>监测对象家庭与毕业生</w:t>
      </w:r>
      <w:r>
        <w:rPr>
          <w:rFonts w:hint="eastAsia" w:ascii="仿宋_GB2312" w:eastAsia="仿宋_GB2312"/>
          <w:color w:val="auto"/>
          <w:sz w:val="32"/>
          <w:szCs w:val="32"/>
          <w:lang w:val="en-US" w:eastAsia="zh-CN"/>
        </w:rPr>
        <w:t>本人</w:t>
      </w:r>
      <w:r>
        <w:rPr>
          <w:rFonts w:hint="default" w:ascii="仿宋_GB2312" w:eastAsia="仿宋_GB2312"/>
          <w:color w:val="auto"/>
          <w:sz w:val="32"/>
          <w:szCs w:val="32"/>
          <w:lang w:val="en-US" w:eastAsia="zh-CN"/>
        </w:rPr>
        <w:t>关系证明。</w:t>
      </w:r>
    </w:p>
    <w:p w14:paraId="09050674">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left="0" w:leftChars="0" w:firstLine="632"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kern w:val="2"/>
          <w:sz w:val="32"/>
          <w:szCs w:val="32"/>
          <w:lang w:val="en-US" w:eastAsia="zh-CN" w:bidi="ar-SA"/>
        </w:rPr>
        <w:t>四、</w:t>
      </w:r>
      <w:r>
        <w:rPr>
          <w:rFonts w:hint="default" w:ascii="黑体" w:hAnsi="黑体" w:eastAsia="黑体" w:cs="黑体"/>
          <w:color w:val="auto"/>
          <w:sz w:val="32"/>
          <w:szCs w:val="32"/>
          <w:lang w:val="en-US" w:eastAsia="zh-CN"/>
        </w:rPr>
        <w:t>残疾人毕业生</w:t>
      </w:r>
      <w:r>
        <w:rPr>
          <w:rFonts w:hint="eastAsia" w:ascii="黑体" w:hAnsi="黑体" w:eastAsia="黑体" w:cs="黑体"/>
          <w:color w:val="auto"/>
          <w:sz w:val="32"/>
          <w:szCs w:val="32"/>
          <w:lang w:val="en-US" w:eastAsia="zh-CN"/>
        </w:rPr>
        <w:t>佐证材料要求</w:t>
      </w:r>
    </w:p>
    <w:p w14:paraId="19279454">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毕业生本人</w:t>
      </w:r>
      <w:r>
        <w:rPr>
          <w:rFonts w:hint="default" w:ascii="仿宋_GB2312" w:eastAsia="仿宋_GB2312"/>
          <w:color w:val="auto"/>
          <w:sz w:val="32"/>
          <w:szCs w:val="32"/>
          <w:lang w:val="en-US" w:eastAsia="zh-CN"/>
        </w:rPr>
        <w:t>《中华人民共和国残疾人证》或《中华人民共和国残疾军人证》。</w:t>
      </w:r>
    </w:p>
    <w:p w14:paraId="10A71D4D">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left="0" w:leftChars="0" w:firstLine="632"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kern w:val="2"/>
          <w:sz w:val="32"/>
          <w:szCs w:val="32"/>
          <w:lang w:val="en-US" w:eastAsia="zh-CN" w:bidi="ar-SA"/>
        </w:rPr>
        <w:t>五、</w:t>
      </w:r>
      <w:r>
        <w:rPr>
          <w:rFonts w:hint="default" w:ascii="黑体" w:hAnsi="黑体" w:eastAsia="黑体" w:cs="黑体"/>
          <w:color w:val="auto"/>
          <w:sz w:val="32"/>
          <w:szCs w:val="32"/>
          <w:lang w:val="en-US" w:eastAsia="zh-CN"/>
        </w:rPr>
        <w:t>零就业家庭毕业生</w:t>
      </w:r>
      <w:r>
        <w:rPr>
          <w:rFonts w:hint="eastAsia" w:ascii="黑体" w:hAnsi="黑体" w:eastAsia="黑体" w:cs="黑体"/>
          <w:color w:val="auto"/>
          <w:sz w:val="32"/>
          <w:szCs w:val="32"/>
          <w:lang w:val="en-US" w:eastAsia="zh-CN"/>
        </w:rPr>
        <w:t>佐证材料要求</w:t>
      </w:r>
    </w:p>
    <w:p w14:paraId="212EAE71">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由所在县（市、区）级及以上</w:t>
      </w:r>
      <w:r>
        <w:rPr>
          <w:rFonts w:hint="eastAsia" w:ascii="仿宋_GB2312" w:hAnsi="仿宋_GB2312" w:eastAsia="仿宋_GB2312" w:cs="仿宋_GB2312"/>
          <w:color w:val="auto"/>
          <w:sz w:val="32"/>
          <w:szCs w:val="32"/>
          <w:u w:val="none"/>
          <w:lang w:eastAsia="zh"/>
        </w:rPr>
        <w:t>人力资源社会保障</w:t>
      </w:r>
      <w:r>
        <w:rPr>
          <w:rFonts w:hint="eastAsia" w:ascii="仿宋_GB2312" w:hAnsi="仿宋_GB2312" w:eastAsia="仿宋_GB2312" w:cs="仿宋_GB2312"/>
          <w:color w:val="auto"/>
          <w:sz w:val="32"/>
          <w:szCs w:val="32"/>
          <w:u w:val="none"/>
          <w:lang w:val="en-US" w:eastAsia="zh-CN"/>
        </w:rPr>
        <w:t>部门</w:t>
      </w:r>
      <w:r>
        <w:rPr>
          <w:rFonts w:hint="eastAsia" w:ascii="仿宋_GB2312" w:hAnsi="仿宋_GB2312" w:eastAsia="仿宋_GB2312" w:cs="仿宋_GB2312"/>
          <w:color w:val="auto"/>
          <w:sz w:val="32"/>
          <w:szCs w:val="32"/>
          <w:u w:val="none"/>
        </w:rPr>
        <w:t>出具加盖公章的书面证明</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证明需包含毕业生本人姓名、身份证号、</w:t>
      </w:r>
      <w:r>
        <w:rPr>
          <w:rFonts w:hint="eastAsia" w:ascii="仿宋_GB2312" w:hAnsi="仿宋_GB2312" w:eastAsia="仿宋_GB2312" w:cs="仿宋_GB2312"/>
          <w:color w:val="auto"/>
          <w:sz w:val="32"/>
          <w:szCs w:val="32"/>
          <w:u w:val="none"/>
          <w:lang w:val="en-US" w:eastAsia="zh-CN"/>
        </w:rPr>
        <w:t>零就业</w:t>
      </w:r>
      <w:r>
        <w:rPr>
          <w:rFonts w:hint="eastAsia" w:ascii="仿宋_GB2312" w:hAnsi="仿宋_GB2312" w:eastAsia="仿宋_GB2312" w:cs="仿宋_GB2312"/>
          <w:color w:val="auto"/>
          <w:sz w:val="32"/>
          <w:szCs w:val="32"/>
          <w:u w:val="none"/>
        </w:rPr>
        <w:t>家庭</w:t>
      </w:r>
      <w:r>
        <w:rPr>
          <w:rFonts w:hint="eastAsia" w:ascii="仿宋_GB2312" w:hAnsi="仿宋_GB2312" w:eastAsia="仿宋_GB2312" w:cs="仿宋_GB2312"/>
          <w:color w:val="auto"/>
          <w:sz w:val="32"/>
          <w:szCs w:val="32"/>
          <w:u w:val="none"/>
          <w:lang w:val="en-US" w:eastAsia="zh-CN"/>
        </w:rPr>
        <w:t>情况</w:t>
      </w:r>
      <w:r>
        <w:rPr>
          <w:rFonts w:hint="eastAsia" w:ascii="仿宋_GB2312" w:hAnsi="仿宋_GB2312" w:eastAsia="仿宋_GB2312" w:cs="仿宋_GB2312"/>
          <w:color w:val="auto"/>
          <w:sz w:val="32"/>
          <w:szCs w:val="32"/>
          <w:u w:val="none"/>
        </w:rPr>
        <w:t>、毕业生本人和</w:t>
      </w:r>
      <w:r>
        <w:rPr>
          <w:rFonts w:hint="eastAsia" w:ascii="仿宋_GB2312" w:hAnsi="仿宋_GB2312" w:eastAsia="仿宋_GB2312" w:cs="仿宋_GB2312"/>
          <w:color w:val="auto"/>
          <w:sz w:val="32"/>
          <w:szCs w:val="32"/>
          <w:u w:val="none"/>
          <w:lang w:val="en-US" w:eastAsia="zh-CN"/>
        </w:rPr>
        <w:t>户主</w:t>
      </w:r>
      <w:r>
        <w:rPr>
          <w:rFonts w:hint="eastAsia" w:ascii="仿宋_GB2312" w:hAnsi="仿宋_GB2312" w:eastAsia="仿宋_GB2312" w:cs="仿宋_GB2312"/>
          <w:color w:val="auto"/>
          <w:sz w:val="32"/>
          <w:szCs w:val="32"/>
          <w:u w:val="none"/>
        </w:rPr>
        <w:t>的关系</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，或</w:t>
      </w:r>
      <w:r>
        <w:rPr>
          <w:rFonts w:hint="eastAsia" w:ascii="仿宋_GB2312" w:hAnsi="仿宋_GB2312" w:eastAsia="仿宋_GB2312" w:cs="仿宋_GB2312"/>
          <w:color w:val="auto"/>
          <w:sz w:val="32"/>
          <w:szCs w:val="32"/>
          <w:u w:val="none"/>
          <w:lang w:val="en-US" w:eastAsia="zh-CN"/>
        </w:rPr>
        <w:t>加盖公章的</w:t>
      </w:r>
      <w:r>
        <w:rPr>
          <w:rFonts w:hint="eastAsia" w:ascii="仿宋_GB2312" w:hAnsi="仿宋_GB2312" w:eastAsia="仿宋_GB2312" w:cs="仿宋_GB2312"/>
          <w:color w:val="auto"/>
          <w:sz w:val="32"/>
          <w:szCs w:val="32"/>
          <w:u w:val="none"/>
        </w:rPr>
        <w:t>在人社相关业务系统查询到的零就业家庭基本信息打印（复印）件。</w:t>
      </w:r>
    </w:p>
    <w:p w14:paraId="3A87651E">
      <w:pPr>
        <w:keepNext w:val="0"/>
        <w:keepLines w:val="0"/>
        <w:pageBreakBefore w:val="0"/>
        <w:widowControl w:val="0"/>
        <w:numPr>
          <w:ilvl w:val="0"/>
          <w:numId w:val="0"/>
        </w:numPr>
        <w:kinsoku/>
        <w:wordWrap/>
        <w:overflowPunct/>
        <w:topLinePunct w:val="0"/>
        <w:autoSpaceDE/>
        <w:autoSpaceDN/>
        <w:bidi w:val="0"/>
        <w:adjustRightInd/>
        <w:snapToGrid/>
        <w:spacing w:line="586" w:lineRule="exact"/>
        <w:ind w:left="0" w:leftChars="0" w:firstLine="632"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kern w:val="2"/>
          <w:sz w:val="32"/>
          <w:szCs w:val="32"/>
          <w:lang w:val="en-US" w:eastAsia="zh-CN" w:bidi="ar-SA"/>
        </w:rPr>
        <w:t>六、</w:t>
      </w:r>
      <w:r>
        <w:rPr>
          <w:rFonts w:hint="eastAsia" w:ascii="黑体" w:hAnsi="黑体" w:eastAsia="黑体" w:cs="黑体"/>
          <w:color w:val="auto"/>
          <w:sz w:val="32"/>
          <w:szCs w:val="32"/>
          <w:lang w:val="en-US" w:eastAsia="zh-CN"/>
        </w:rPr>
        <w:t>在学期间已获得国家助学贷款毕业生佐证材料要求</w:t>
      </w:r>
    </w:p>
    <w:p w14:paraId="0DDEE08E">
      <w:pPr>
        <w:keepNext w:val="0"/>
        <w:keepLines w:val="0"/>
        <w:pageBreakBefore w:val="0"/>
        <w:widowControl w:val="0"/>
        <w:kinsoku/>
        <w:wordWrap/>
        <w:overflowPunct/>
        <w:topLinePunct w:val="0"/>
        <w:autoSpaceDE/>
        <w:autoSpaceDN/>
        <w:bidi w:val="0"/>
        <w:adjustRightInd/>
        <w:snapToGrid/>
        <w:spacing w:line="586" w:lineRule="exact"/>
        <w:ind w:leftChars="0" w:firstLine="632" w:firstLineChars="200"/>
        <w:textAlignment w:val="auto"/>
        <w:rPr>
          <w:color w:val="auto"/>
          <w:sz w:val="36"/>
          <w:szCs w:val="36"/>
        </w:rPr>
      </w:pPr>
      <w:r>
        <w:rPr>
          <w:rFonts w:hint="eastAsia" w:ascii="仿宋_GB2312" w:hAnsi="仿宋_GB2312" w:eastAsia="仿宋_GB2312" w:cs="仿宋_GB2312"/>
          <w:color w:val="auto"/>
          <w:sz w:val="32"/>
          <w:szCs w:val="32"/>
          <w:lang w:val="en-US" w:eastAsia="zh-CN"/>
        </w:rPr>
        <w:t>毕业生</w:t>
      </w:r>
      <w:r>
        <w:rPr>
          <w:rFonts w:hint="eastAsia" w:ascii="仿宋_GB2312" w:hAnsi="仿宋_GB2312" w:eastAsia="仿宋_GB2312" w:cs="仿宋_GB2312"/>
          <w:color w:val="auto"/>
          <w:sz w:val="32"/>
          <w:szCs w:val="32"/>
        </w:rPr>
        <w:t>本人本学历在读期间的《国家助学贷款合同》或贷款银行、生源地资助管理中心出具的同等效力材料。</w:t>
      </w:r>
    </w:p>
    <w:sectPr>
      <w:footerReference r:id="rId3" w:type="default"/>
      <w:pgSz w:w="11906" w:h="16838"/>
      <w:pgMar w:top="2098" w:right="1531" w:bottom="1814" w:left="1531" w:header="851" w:footer="1587" w:gutter="0"/>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304AD">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99CD69A">
                          <w:pPr>
                            <w:snapToGrid w:val="0"/>
                            <w:ind w:left="320" w:leftChars="100" w:right="320" w:right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99CD69A">
                    <w:pPr>
                      <w:snapToGrid w:val="0"/>
                      <w:ind w:left="320" w:leftChars="100" w:right="320" w:right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YmM4ZDMxNGQwMGE0YjEzM2ZkNGEzZjk0YTA3NjIifQ=="/>
  </w:docVars>
  <w:rsids>
    <w:rsidRoot w:val="643B0D83"/>
    <w:rsid w:val="00097BEE"/>
    <w:rsid w:val="0057399E"/>
    <w:rsid w:val="00680F53"/>
    <w:rsid w:val="0297204E"/>
    <w:rsid w:val="077605A7"/>
    <w:rsid w:val="09A14010"/>
    <w:rsid w:val="09FD46CD"/>
    <w:rsid w:val="0B496B71"/>
    <w:rsid w:val="0C334C64"/>
    <w:rsid w:val="0C3F6A2A"/>
    <w:rsid w:val="0C71390F"/>
    <w:rsid w:val="0DE04C30"/>
    <w:rsid w:val="1186374D"/>
    <w:rsid w:val="11AF060B"/>
    <w:rsid w:val="120001AB"/>
    <w:rsid w:val="14CA9CBC"/>
    <w:rsid w:val="15AA30B3"/>
    <w:rsid w:val="1757451C"/>
    <w:rsid w:val="1903022D"/>
    <w:rsid w:val="1EAB0DBC"/>
    <w:rsid w:val="207E6FE7"/>
    <w:rsid w:val="22274D44"/>
    <w:rsid w:val="23D30805"/>
    <w:rsid w:val="24F46230"/>
    <w:rsid w:val="2570056D"/>
    <w:rsid w:val="25BF2BBC"/>
    <w:rsid w:val="26551754"/>
    <w:rsid w:val="27D914FD"/>
    <w:rsid w:val="27EF7C56"/>
    <w:rsid w:val="28716010"/>
    <w:rsid w:val="28E84B02"/>
    <w:rsid w:val="295E4604"/>
    <w:rsid w:val="2A241B69"/>
    <w:rsid w:val="2CBF34B9"/>
    <w:rsid w:val="2E7F1A64"/>
    <w:rsid w:val="2F2A20DA"/>
    <w:rsid w:val="30A0299D"/>
    <w:rsid w:val="30D27D00"/>
    <w:rsid w:val="31D348F0"/>
    <w:rsid w:val="31F32FC4"/>
    <w:rsid w:val="31F462C5"/>
    <w:rsid w:val="333E1B77"/>
    <w:rsid w:val="3356792D"/>
    <w:rsid w:val="355A0B35"/>
    <w:rsid w:val="39665FE2"/>
    <w:rsid w:val="39A92B81"/>
    <w:rsid w:val="3B77CA06"/>
    <w:rsid w:val="3C256DB8"/>
    <w:rsid w:val="3C90221E"/>
    <w:rsid w:val="3C9B3F0D"/>
    <w:rsid w:val="3D89020A"/>
    <w:rsid w:val="3FFC9DA6"/>
    <w:rsid w:val="403D665D"/>
    <w:rsid w:val="42536C28"/>
    <w:rsid w:val="42F604D0"/>
    <w:rsid w:val="47A188CA"/>
    <w:rsid w:val="485D476D"/>
    <w:rsid w:val="49306185"/>
    <w:rsid w:val="494B1D84"/>
    <w:rsid w:val="49A07007"/>
    <w:rsid w:val="49C21C3B"/>
    <w:rsid w:val="4AB11105"/>
    <w:rsid w:val="4B0E1BB7"/>
    <w:rsid w:val="4C41703C"/>
    <w:rsid w:val="4CFE1904"/>
    <w:rsid w:val="4D35558B"/>
    <w:rsid w:val="4D3C2DCB"/>
    <w:rsid w:val="5060304C"/>
    <w:rsid w:val="51FED7AB"/>
    <w:rsid w:val="538A269F"/>
    <w:rsid w:val="54B86536"/>
    <w:rsid w:val="54C16F85"/>
    <w:rsid w:val="54FFA392"/>
    <w:rsid w:val="577F3E61"/>
    <w:rsid w:val="57DE6F4C"/>
    <w:rsid w:val="585E20E8"/>
    <w:rsid w:val="59F8E50C"/>
    <w:rsid w:val="5A0E542B"/>
    <w:rsid w:val="5A346FA6"/>
    <w:rsid w:val="5AD92392"/>
    <w:rsid w:val="5EFA7CCD"/>
    <w:rsid w:val="5F84662B"/>
    <w:rsid w:val="5FFB6637"/>
    <w:rsid w:val="5FFF69E4"/>
    <w:rsid w:val="60327E35"/>
    <w:rsid w:val="628F4A1B"/>
    <w:rsid w:val="643B0D83"/>
    <w:rsid w:val="64A412E9"/>
    <w:rsid w:val="662E3D4B"/>
    <w:rsid w:val="67E3662D"/>
    <w:rsid w:val="69AB3955"/>
    <w:rsid w:val="6B573FAF"/>
    <w:rsid w:val="6C732ABD"/>
    <w:rsid w:val="6D117AF4"/>
    <w:rsid w:val="6D5A38D8"/>
    <w:rsid w:val="6E054DDB"/>
    <w:rsid w:val="6F24843C"/>
    <w:rsid w:val="6FD3AA11"/>
    <w:rsid w:val="729F16E9"/>
    <w:rsid w:val="733C18D1"/>
    <w:rsid w:val="743F26E0"/>
    <w:rsid w:val="74BD1E90"/>
    <w:rsid w:val="756F247D"/>
    <w:rsid w:val="75C00440"/>
    <w:rsid w:val="77EE6370"/>
    <w:rsid w:val="7A5521F9"/>
    <w:rsid w:val="7A72203C"/>
    <w:rsid w:val="7B3F192C"/>
    <w:rsid w:val="7B673F1C"/>
    <w:rsid w:val="7D831878"/>
    <w:rsid w:val="7E105EA2"/>
    <w:rsid w:val="7F7D58EC"/>
    <w:rsid w:val="7FEB76BF"/>
    <w:rsid w:val="7FF7F32B"/>
    <w:rsid w:val="7FFCE779"/>
    <w:rsid w:val="8FCF66D7"/>
    <w:rsid w:val="9D4B5CFF"/>
    <w:rsid w:val="9FA97A47"/>
    <w:rsid w:val="A3EE82CC"/>
    <w:rsid w:val="AF731E76"/>
    <w:rsid w:val="B77F1FEA"/>
    <w:rsid w:val="B8F385DC"/>
    <w:rsid w:val="BA7B23C6"/>
    <w:rsid w:val="BBDFADFC"/>
    <w:rsid w:val="BFF74BD0"/>
    <w:rsid w:val="BFF791C2"/>
    <w:rsid w:val="F37D0F04"/>
    <w:rsid w:val="F5EF14CD"/>
    <w:rsid w:val="F6FB6240"/>
    <w:rsid w:val="F7FF5F09"/>
    <w:rsid w:val="F7FFC828"/>
    <w:rsid w:val="FB3E8BEA"/>
    <w:rsid w:val="FBDD58AA"/>
    <w:rsid w:val="FDFB7464"/>
    <w:rsid w:val="FE734873"/>
    <w:rsid w:val="FFEAA20B"/>
    <w:rsid w:val="FFFF0FA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Sky123.Org</Company>
  <Pages>7</Pages>
  <Words>2328</Words>
  <Characters>2374</Characters>
  <Lines>16</Lines>
  <Paragraphs>4</Paragraphs>
  <TotalTime>259</TotalTime>
  <ScaleCrop>false</ScaleCrop>
  <LinksUpToDate>false</LinksUpToDate>
  <CharactersWithSpaces>2375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2023-09-09T01:57:00Z</dcterms:created>
  <dc:creator>跺跺耳朵</dc:creator>
  <cp:lastModifiedBy>LTGX03</cp:lastModifiedBy>
  <cp:lastPrinted>2024-08-10T05:58:00Z</cp:lastPrinted>
  <dcterms:modified xsi:type="dcterms:W3CDTF">2025-08-22T07:08:34Z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F45B0487318C4088B44312037B5499CC_13</vt:lpwstr>
  </property>
  <property fmtid="{D5CDD505-2E9C-101B-9397-08002B2CF9AE}" pid="4" name="KSOTemplateDocerSaveRecord">
    <vt:lpwstr>eyJoZGlkIjoiZDJjMTlmOWI2YjliZGRhZDkwNTU2OGJkNmFkYTU0YzAifQ==</vt:lpwstr>
  </property>
</Properties>
</file>