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3D4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方正小标宋简体"/>
          <w:color w:val="auto"/>
          <w:spacing w:val="-8"/>
          <w:sz w:val="44"/>
          <w:szCs w:val="44"/>
        </w:rPr>
      </w:pPr>
    </w:p>
    <w:p w14:paraId="01A1021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小标宋简体"/>
          <w:color w:val="auto"/>
          <w:spacing w:val="-8"/>
          <w:sz w:val="32"/>
          <w:szCs w:val="32"/>
        </w:rPr>
      </w:pPr>
    </w:p>
    <w:p w14:paraId="52D9326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Times New Roman" w:hAnsi="Times New Roman" w:eastAsia="方正小标宋简体"/>
          <w:color w:val="auto"/>
          <w:spacing w:val="-8"/>
          <w:sz w:val="32"/>
          <w:szCs w:val="32"/>
        </w:rPr>
      </w:pPr>
    </w:p>
    <w:p w14:paraId="62CC1D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pacing w:val="-8"/>
          <w:sz w:val="32"/>
          <w:szCs w:val="32"/>
        </w:rPr>
      </w:pPr>
      <w:r>
        <w:rPr>
          <w:rFonts w:hint="eastAsia" w:ascii="仿宋_GB2312" w:hAnsi="仿宋_GB2312" w:eastAsia="仿宋_GB2312" w:cs="仿宋_GB2312"/>
          <w:color w:val="auto"/>
          <w:spacing w:val="-8"/>
          <w:sz w:val="32"/>
          <w:szCs w:val="32"/>
        </w:rPr>
        <w:t>鲁人社字〔202</w:t>
      </w:r>
      <w:r>
        <w:rPr>
          <w:rFonts w:hint="eastAsia" w:ascii="仿宋_GB2312" w:hAnsi="仿宋_GB2312" w:eastAsia="仿宋_GB2312" w:cs="仿宋_GB2312"/>
          <w:color w:val="auto"/>
          <w:spacing w:val="-8"/>
          <w:sz w:val="32"/>
          <w:szCs w:val="32"/>
          <w:lang w:val="en-US" w:eastAsia="zh-CN"/>
        </w:rPr>
        <w:t>5</w:t>
      </w:r>
      <w:r>
        <w:rPr>
          <w:rFonts w:hint="eastAsia" w:ascii="仿宋_GB2312" w:hAnsi="仿宋_GB2312" w:eastAsia="仿宋_GB2312" w:cs="仿宋_GB2312"/>
          <w:color w:val="auto"/>
          <w:spacing w:val="-8"/>
          <w:sz w:val="32"/>
          <w:szCs w:val="32"/>
        </w:rPr>
        <w:t>〕</w:t>
      </w:r>
      <w:r>
        <w:rPr>
          <w:rFonts w:hint="eastAsia" w:ascii="仿宋_GB2312" w:hAnsi="仿宋_GB2312" w:eastAsia="仿宋_GB2312" w:cs="仿宋_GB2312"/>
          <w:color w:val="auto"/>
          <w:spacing w:val="-8"/>
          <w:sz w:val="32"/>
          <w:szCs w:val="32"/>
          <w:lang w:val="en-US" w:eastAsia="zh-CN"/>
        </w:rPr>
        <w:t>86</w:t>
      </w:r>
      <w:r>
        <w:rPr>
          <w:rFonts w:hint="eastAsia" w:ascii="仿宋_GB2312" w:hAnsi="仿宋_GB2312" w:eastAsia="仿宋_GB2312" w:cs="仿宋_GB2312"/>
          <w:color w:val="auto"/>
          <w:spacing w:val="-8"/>
          <w:sz w:val="32"/>
          <w:szCs w:val="32"/>
        </w:rPr>
        <w:t>号</w:t>
      </w:r>
    </w:p>
    <w:p w14:paraId="2ACCF598">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0" w:firstLineChars="0"/>
        <w:jc w:val="both"/>
        <w:textAlignment w:val="auto"/>
        <w:outlineLvl w:val="9"/>
        <w:rPr>
          <w:rFonts w:hint="eastAsia" w:ascii="Times New Roman" w:hAnsi="Times New Roman" w:eastAsia="方正小标宋简体"/>
          <w:color w:val="auto"/>
          <w:spacing w:val="-8"/>
          <w:sz w:val="32"/>
          <w:szCs w:val="32"/>
        </w:rPr>
      </w:pPr>
      <w:bookmarkStart w:id="0" w:name="_GoBack"/>
      <w:bookmarkEnd w:id="0"/>
    </w:p>
    <w:p w14:paraId="2044B6CD">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jc w:val="both"/>
        <w:textAlignment w:val="auto"/>
        <w:rPr>
          <w:rFonts w:hint="eastAsia" w:ascii="方正小标宋简体" w:hAnsi="方正小标宋简体" w:eastAsia="方正小标宋简体" w:cs="方正小标宋简体"/>
          <w:sz w:val="44"/>
          <w:szCs w:val="44"/>
          <w:highlight w:val="none"/>
        </w:rPr>
      </w:pPr>
    </w:p>
    <w:p w14:paraId="282F841C">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lang w:eastAsia="zh"/>
        </w:rPr>
      </w:pPr>
      <w:r>
        <w:rPr>
          <w:rFonts w:hint="eastAsia" w:ascii="方正小标宋简体" w:hAnsi="方正小标宋简体" w:eastAsia="方正小标宋简体" w:cs="方正小标宋简体"/>
          <w:sz w:val="44"/>
          <w:szCs w:val="44"/>
          <w:highlight w:val="none"/>
          <w:lang w:eastAsia="zh"/>
        </w:rPr>
        <w:t>山东省人力资源和社会保障厅等5部门关于</w:t>
      </w:r>
    </w:p>
    <w:p w14:paraId="21C065EC">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加强人力资源服务助力制造业</w:t>
      </w:r>
    </w:p>
    <w:p w14:paraId="340BA27C">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高质量发展的实施意见</w:t>
      </w:r>
    </w:p>
    <w:p w14:paraId="1D5A0E68">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jc w:val="both"/>
        <w:textAlignment w:val="auto"/>
        <w:rPr>
          <w:rFonts w:hint="eastAsia" w:ascii="仿宋_GB2312" w:hAnsi="仿宋_GB2312" w:eastAsia="仿宋_GB2312" w:cs="仿宋_GB2312"/>
          <w:sz w:val="32"/>
          <w:szCs w:val="32"/>
          <w:highlight w:val="none"/>
        </w:rPr>
      </w:pPr>
    </w:p>
    <w:p w14:paraId="544DF606">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各市人力资源社会保障局、发展改革委、工业和信息化局、商务局、工商联：</w:t>
      </w:r>
    </w:p>
    <w:p w14:paraId="6CBFD107">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根据《人力资源社会保障部 国家发展改革委 工业和信息化部 商务部 全国工商联关于加强人力资源服务助力制造业高质量发展的意见》（人社部发〔2024〕86号）</w:t>
      </w:r>
      <w:r>
        <w:rPr>
          <w:rFonts w:hint="eastAsia" w:ascii="仿宋_GB2312" w:hAnsi="仿宋_GB2312" w:eastAsia="仿宋_GB2312" w:cs="仿宋_GB2312"/>
          <w:b w:val="0"/>
          <w:bCs w:val="0"/>
          <w:color w:val="auto"/>
          <w:sz w:val="32"/>
          <w:szCs w:val="32"/>
          <w:highlight w:val="none"/>
          <w:lang w:eastAsia="zh"/>
        </w:rPr>
        <w:t>、</w:t>
      </w:r>
      <w:r>
        <w:rPr>
          <w:rFonts w:hint="eastAsia" w:ascii="仿宋_GB2312" w:hAnsi="仿宋_GB2312" w:eastAsia="仿宋_GB2312" w:cs="仿宋_GB2312"/>
          <w:b w:val="0"/>
          <w:bCs w:val="0"/>
          <w:color w:val="auto"/>
          <w:sz w:val="32"/>
          <w:szCs w:val="32"/>
          <w:highlight w:val="none"/>
        </w:rPr>
        <w:t>《人力资源社会保障部 工业和信息化部 商务部 全国工商联关于开展人力资源服务业与制造业融合发展试点工作的通知》（人社部发〔2025〕27号），结合我省实际，制定以下实施意见。</w:t>
      </w:r>
    </w:p>
    <w:p w14:paraId="0F13CEBF">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一、构建</w:t>
      </w:r>
      <w:r>
        <w:rPr>
          <w:rFonts w:hint="eastAsia" w:ascii="黑体" w:hAnsi="黑体" w:eastAsia="黑体" w:cs="黑体"/>
          <w:b w:val="0"/>
          <w:bCs w:val="0"/>
          <w:color w:val="auto"/>
          <w:sz w:val="32"/>
          <w:szCs w:val="32"/>
          <w:highlight w:val="none"/>
          <w:lang w:val="en-US" w:eastAsia="zh-CN"/>
        </w:rPr>
        <w:t>两业</w:t>
      </w:r>
      <w:r>
        <w:rPr>
          <w:rFonts w:hint="eastAsia" w:ascii="黑体" w:hAnsi="黑体" w:eastAsia="黑体" w:cs="黑体"/>
          <w:b w:val="0"/>
          <w:bCs w:val="0"/>
          <w:color w:val="auto"/>
          <w:sz w:val="32"/>
          <w:szCs w:val="32"/>
          <w:highlight w:val="none"/>
        </w:rPr>
        <w:t>融合发展机制</w:t>
      </w:r>
    </w:p>
    <w:p w14:paraId="2AD4E594">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（一）争创两业融合试点</w:t>
      </w:r>
      <w:r>
        <w:rPr>
          <w:rFonts w:hint="eastAsia" w:ascii="仿宋_GB2312" w:hAnsi="仿宋_GB2312" w:eastAsia="仿宋_GB2312" w:cs="仿宋_GB2312"/>
          <w:b w:val="0"/>
          <w:bCs w:val="0"/>
          <w:color w:val="auto"/>
          <w:sz w:val="32"/>
          <w:szCs w:val="32"/>
          <w:highlight w:val="none"/>
        </w:rPr>
        <w:t>。支持制造业基础好、人力资源服务体系完善、示范带动作用强的市，积极申报国家人力资源服务业与制造业融合发展试点，同步开展省级融合发展试点，鼓励各市结合产业特色编制实施方案，推动人力资源服务与制造业协同互促、深度融合。</w:t>
      </w:r>
      <w:r>
        <w:rPr>
          <w:rFonts w:hint="eastAsia" w:ascii="方正楷体_GB2312" w:hAnsi="方正楷体_GB2312" w:eastAsia="方正楷体_GB2312" w:cs="方正楷体_GB2312"/>
          <w:b w:val="0"/>
          <w:bCs w:val="0"/>
          <w:color w:val="auto"/>
          <w:sz w:val="32"/>
          <w:szCs w:val="32"/>
          <w:highlight w:val="none"/>
          <w:lang w:val="en-US" w:eastAsia="zh-CN"/>
        </w:rPr>
        <w:t>（牵头单位：</w:t>
      </w:r>
      <w:r>
        <w:rPr>
          <w:rFonts w:hint="eastAsia" w:ascii="方正楷体_GB2312" w:hAnsi="方正楷体_GB2312" w:eastAsia="方正楷体_GB2312" w:cs="方正楷体_GB2312"/>
          <w:b w:val="0"/>
          <w:bCs w:val="0"/>
          <w:color w:val="auto"/>
          <w:sz w:val="32"/>
          <w:szCs w:val="32"/>
          <w:highlight w:val="none"/>
        </w:rPr>
        <w:t>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w:t>
      </w:r>
      <w:r>
        <w:rPr>
          <w:rFonts w:hint="eastAsia" w:ascii="方正楷体_GB2312" w:hAnsi="方正楷体_GB2312" w:eastAsia="方正楷体_GB2312" w:cs="方正楷体_GB2312"/>
          <w:b w:val="0"/>
          <w:bCs w:val="0"/>
          <w:color w:val="auto"/>
          <w:sz w:val="32"/>
          <w:szCs w:val="32"/>
          <w:highlight w:val="none"/>
        </w:rPr>
        <w:t>省</w:t>
      </w:r>
      <w:r>
        <w:rPr>
          <w:rFonts w:hint="eastAsia" w:ascii="方正楷体_GB2312" w:hAnsi="方正楷体_GB2312" w:eastAsia="方正楷体_GB2312" w:cs="方正楷体_GB2312"/>
          <w:b w:val="0"/>
          <w:bCs w:val="0"/>
          <w:color w:val="auto"/>
          <w:sz w:val="32"/>
          <w:szCs w:val="32"/>
          <w:highlight w:val="none"/>
          <w:lang w:val="en-US" w:eastAsia="zh-CN"/>
        </w:rPr>
        <w:t>发展改革委、</w:t>
      </w:r>
      <w:r>
        <w:rPr>
          <w:rFonts w:hint="eastAsia" w:ascii="方正楷体_GB2312" w:hAnsi="方正楷体_GB2312" w:eastAsia="方正楷体_GB2312" w:cs="方正楷体_GB2312"/>
          <w:b w:val="0"/>
          <w:bCs w:val="0"/>
          <w:color w:val="auto"/>
          <w:sz w:val="32"/>
          <w:szCs w:val="32"/>
          <w:highlight w:val="none"/>
        </w:rPr>
        <w:t>省工业和信息化厅）</w:t>
      </w:r>
    </w:p>
    <w:p w14:paraId="7F80D3F6">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方正楷体_GB2312" w:hAnsi="方正楷体_GB2312" w:eastAsia="方正楷体_GB2312" w:cs="方正楷体_GB2312"/>
          <w:b w:val="0"/>
          <w:bCs w:val="0"/>
          <w:color w:val="auto"/>
          <w:sz w:val="32"/>
          <w:szCs w:val="32"/>
          <w:highlight w:val="none"/>
          <w:lang w:val="en-US" w:eastAsia="zh-CN"/>
        </w:rPr>
      </w:pPr>
      <w:r>
        <w:rPr>
          <w:rFonts w:hint="eastAsia" w:ascii="方正楷体_GB2312" w:hAnsi="方正楷体_GB2312" w:eastAsia="方正楷体_GB2312" w:cs="方正楷体_GB2312"/>
          <w:b w:val="0"/>
          <w:bCs w:val="0"/>
          <w:color w:val="auto"/>
          <w:sz w:val="32"/>
          <w:szCs w:val="32"/>
          <w:highlight w:val="none"/>
        </w:rPr>
        <w:t>（二）加快</w:t>
      </w:r>
      <w:r>
        <w:rPr>
          <w:rFonts w:hint="eastAsia" w:ascii="方正楷体_GB2312" w:hAnsi="方正楷体_GB2312" w:eastAsia="方正楷体_GB2312" w:cs="方正楷体_GB2312"/>
          <w:b w:val="0"/>
          <w:bCs w:val="0"/>
          <w:color w:val="auto"/>
          <w:sz w:val="32"/>
          <w:szCs w:val="32"/>
          <w:highlight w:val="none"/>
          <w:lang w:val="en-US" w:eastAsia="zh-CN"/>
        </w:rPr>
        <w:t>人力资源</w:t>
      </w:r>
      <w:r>
        <w:rPr>
          <w:rFonts w:hint="eastAsia" w:ascii="方正楷体_GB2312" w:hAnsi="方正楷体_GB2312" w:eastAsia="方正楷体_GB2312" w:cs="方正楷体_GB2312"/>
          <w:b w:val="0"/>
          <w:bCs w:val="0"/>
          <w:color w:val="auto"/>
          <w:sz w:val="32"/>
          <w:szCs w:val="32"/>
          <w:highlight w:val="none"/>
        </w:rPr>
        <w:t>服务业集聚发展</w:t>
      </w:r>
      <w:r>
        <w:rPr>
          <w:rFonts w:hint="eastAsia" w:ascii="仿宋_GB2312" w:hAnsi="仿宋_GB2312" w:eastAsia="仿宋_GB2312" w:cs="仿宋_GB2312"/>
          <w:b w:val="0"/>
          <w:bCs w:val="0"/>
          <w:color w:val="auto"/>
          <w:sz w:val="32"/>
          <w:szCs w:val="32"/>
          <w:highlight w:val="none"/>
        </w:rPr>
        <w:t>。支持具备产业基础、区位优势的人力资源服务产业园纳入现代服务业集聚区培育体系。引导各类工业园区与</w:t>
      </w:r>
      <w:r>
        <w:rPr>
          <w:rFonts w:hint="eastAsia" w:ascii="仿宋_GB2312" w:hAnsi="仿宋_GB2312" w:eastAsia="仿宋_GB2312" w:cs="仿宋_GB2312"/>
          <w:b w:val="0"/>
          <w:bCs w:val="0"/>
          <w:color w:val="auto"/>
          <w:sz w:val="32"/>
          <w:szCs w:val="32"/>
          <w:highlight w:val="none"/>
          <w:lang w:val="en-US" w:eastAsia="zh-CN"/>
        </w:rPr>
        <w:t>人力资源服务产业园</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人力资源服务机构深度合作，</w:t>
      </w:r>
      <w:r>
        <w:rPr>
          <w:rFonts w:hint="eastAsia" w:ascii="仿宋_GB2312" w:hAnsi="仿宋_GB2312" w:eastAsia="仿宋_GB2312" w:cs="仿宋_GB2312"/>
          <w:b w:val="0"/>
          <w:bCs w:val="0"/>
          <w:color w:val="auto"/>
          <w:sz w:val="32"/>
          <w:szCs w:val="32"/>
          <w:highlight w:val="none"/>
          <w:lang w:val="en-US" w:eastAsia="zh-CN"/>
        </w:rPr>
        <w:t>鼓励在有条件、有需求的</w:t>
      </w:r>
      <w:r>
        <w:rPr>
          <w:rFonts w:hint="eastAsia" w:ascii="仿宋_GB2312" w:hAnsi="仿宋_GB2312" w:eastAsia="仿宋_GB2312" w:cs="仿宋_GB2312"/>
          <w:b w:val="0"/>
          <w:bCs w:val="0"/>
          <w:color w:val="auto"/>
          <w:sz w:val="32"/>
          <w:szCs w:val="32"/>
          <w:highlight w:val="none"/>
        </w:rPr>
        <w:t>工业园区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配套</w:t>
      </w:r>
      <w:r>
        <w:rPr>
          <w:rFonts w:hint="eastAsia" w:ascii="仿宋_GB2312" w:hAnsi="仿宋_GB2312" w:eastAsia="仿宋_GB2312" w:cs="仿宋_GB2312"/>
          <w:b w:val="0"/>
          <w:bCs w:val="0"/>
          <w:color w:val="auto"/>
          <w:sz w:val="32"/>
          <w:szCs w:val="32"/>
          <w:highlight w:val="none"/>
        </w:rPr>
        <w:t>增设人力资源服务联络站，设立人力资源服务公共平台，</w:t>
      </w:r>
      <w:r>
        <w:rPr>
          <w:rFonts w:hint="eastAsia" w:ascii="仿宋_GB2312" w:hAnsi="仿宋_GB2312" w:eastAsia="仿宋_GB2312" w:cs="仿宋_GB2312"/>
          <w:b w:val="0"/>
          <w:bCs w:val="0"/>
          <w:color w:val="auto"/>
          <w:sz w:val="32"/>
          <w:szCs w:val="32"/>
          <w:highlight w:val="none"/>
          <w:lang w:val="en-US" w:eastAsia="zh-CN"/>
        </w:rPr>
        <w:t>延伸</w:t>
      </w:r>
      <w:r>
        <w:rPr>
          <w:rFonts w:hint="eastAsia" w:ascii="仿宋_GB2312" w:hAnsi="仿宋_GB2312" w:eastAsia="仿宋_GB2312" w:cs="仿宋_GB2312"/>
          <w:b w:val="0"/>
          <w:bCs w:val="0"/>
          <w:color w:val="auto"/>
          <w:sz w:val="32"/>
          <w:szCs w:val="32"/>
          <w:highlight w:val="none"/>
        </w:rPr>
        <w:t>人力资源服务触角，推动人力资源</w:t>
      </w:r>
      <w:r>
        <w:rPr>
          <w:rFonts w:hint="eastAsia" w:ascii="仿宋_GB2312" w:hAnsi="仿宋_GB2312" w:eastAsia="仿宋_GB2312" w:cs="仿宋_GB2312"/>
          <w:b w:val="0"/>
          <w:bCs w:val="0"/>
          <w:color w:val="auto"/>
          <w:sz w:val="32"/>
          <w:szCs w:val="32"/>
          <w:highlight w:val="none"/>
          <w:lang w:val="en-US" w:eastAsia="zh-CN"/>
        </w:rPr>
        <w:t>服务</w:t>
      </w:r>
      <w:r>
        <w:rPr>
          <w:rFonts w:hint="eastAsia" w:ascii="仿宋_GB2312" w:hAnsi="仿宋_GB2312" w:eastAsia="仿宋_GB2312" w:cs="仿宋_GB2312"/>
          <w:b w:val="0"/>
          <w:bCs w:val="0"/>
          <w:color w:val="auto"/>
          <w:sz w:val="32"/>
          <w:szCs w:val="32"/>
          <w:highlight w:val="none"/>
        </w:rPr>
        <w:t>与制造业深度协同。</w:t>
      </w:r>
      <w:r>
        <w:rPr>
          <w:rFonts w:hint="eastAsia" w:ascii="方正楷体_GB2312" w:hAnsi="方正楷体_GB2312" w:eastAsia="方正楷体_GB2312" w:cs="方正楷体_GB2312"/>
          <w:b w:val="0"/>
          <w:bCs w:val="0"/>
          <w:color w:val="auto"/>
          <w:sz w:val="32"/>
          <w:szCs w:val="32"/>
          <w:highlight w:val="none"/>
          <w:lang w:val="en-US" w:eastAsia="zh-CN"/>
        </w:rPr>
        <w:t>（牵头单位：省发展改革委</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配合单位：省人力资源社会保障厅、省工业和信息化厅）</w:t>
      </w:r>
    </w:p>
    <w:p w14:paraId="5636C90B">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（三）协同</w:t>
      </w:r>
      <w:r>
        <w:rPr>
          <w:rFonts w:hint="eastAsia" w:ascii="方正楷体_GB2312" w:hAnsi="方正楷体_GB2312" w:eastAsia="方正楷体_GB2312" w:cs="方正楷体_GB2312"/>
          <w:b w:val="0"/>
          <w:bCs w:val="0"/>
          <w:color w:val="auto"/>
          <w:sz w:val="32"/>
          <w:szCs w:val="32"/>
          <w:highlight w:val="none"/>
          <w:lang w:val="en-US" w:eastAsia="zh-CN"/>
        </w:rPr>
        <w:t>培育</w:t>
      </w:r>
      <w:r>
        <w:rPr>
          <w:rFonts w:hint="eastAsia" w:ascii="方正楷体_GB2312" w:hAnsi="方正楷体_GB2312" w:eastAsia="方正楷体_GB2312" w:cs="方正楷体_GB2312"/>
          <w:b w:val="0"/>
          <w:bCs w:val="0"/>
          <w:color w:val="auto"/>
          <w:sz w:val="32"/>
          <w:szCs w:val="32"/>
          <w:highlight w:val="none"/>
        </w:rPr>
        <w:t>“专精特新”</w:t>
      </w:r>
      <w:r>
        <w:rPr>
          <w:rFonts w:hint="eastAsia" w:ascii="方正楷体_GB2312" w:hAnsi="方正楷体_GB2312" w:eastAsia="方正楷体_GB2312" w:cs="方正楷体_GB2312"/>
          <w:b w:val="0"/>
          <w:bCs w:val="0"/>
          <w:color w:val="auto"/>
          <w:sz w:val="32"/>
          <w:szCs w:val="32"/>
          <w:highlight w:val="none"/>
          <w:lang w:val="en-US" w:eastAsia="zh-CN"/>
        </w:rPr>
        <w:t>服务机构</w:t>
      </w:r>
      <w:r>
        <w:rPr>
          <w:rFonts w:hint="eastAsia" w:ascii="仿宋_GB2312" w:hAnsi="仿宋_GB2312" w:eastAsia="仿宋_GB2312" w:cs="仿宋_GB2312"/>
          <w:b w:val="0"/>
          <w:bCs w:val="0"/>
          <w:color w:val="auto"/>
          <w:sz w:val="32"/>
          <w:szCs w:val="32"/>
          <w:highlight w:val="none"/>
        </w:rPr>
        <w:t>。落实《关于加强人力资源服务助力制造业高质量发展的意见》（人社部发〔2024〕86号），</w:t>
      </w:r>
      <w:r>
        <w:rPr>
          <w:rFonts w:hint="eastAsia" w:ascii="仿宋_GB2312" w:hAnsi="仿宋_GB2312" w:eastAsia="仿宋_GB2312" w:cs="仿宋_GB2312"/>
          <w:b w:val="0"/>
          <w:bCs w:val="0"/>
          <w:color w:val="auto"/>
          <w:sz w:val="32"/>
          <w:szCs w:val="32"/>
          <w:highlight w:val="none"/>
          <w:lang w:val="en-US" w:eastAsia="zh-CN"/>
        </w:rPr>
        <w:t>加强</w:t>
      </w:r>
      <w:r>
        <w:rPr>
          <w:rFonts w:hint="eastAsia" w:ascii="仿宋_GB2312" w:hAnsi="仿宋_GB2312" w:eastAsia="仿宋_GB2312" w:cs="仿宋_GB2312"/>
          <w:b w:val="0"/>
          <w:bCs w:val="0"/>
          <w:color w:val="auto"/>
          <w:sz w:val="32"/>
          <w:szCs w:val="32"/>
          <w:highlight w:val="none"/>
        </w:rPr>
        <w:t>人力资源服务机构</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专精特新</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孵化培育，</w:t>
      </w:r>
      <w:r>
        <w:rPr>
          <w:rFonts w:hint="eastAsia" w:ascii="仿宋_GB2312" w:hAnsi="仿宋_GB2312" w:eastAsia="仿宋_GB2312" w:cs="仿宋_GB2312"/>
          <w:b w:val="0"/>
          <w:bCs w:val="0"/>
          <w:color w:val="auto"/>
          <w:sz w:val="32"/>
          <w:szCs w:val="32"/>
          <w:highlight w:val="none"/>
        </w:rPr>
        <w:t>支持符合条件的人力资源服务机构按规定申请认定为</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专精特新</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中小企业。强化政策协同与工作联动，在培育及认定过程中，省级人力资源服务机构主管部门可重点推荐本领域“专精特新”中小企业。</w:t>
      </w:r>
      <w:r>
        <w:rPr>
          <w:rFonts w:hint="eastAsia" w:ascii="方正楷体_GB2312" w:hAnsi="方正楷体_GB2312" w:eastAsia="方正楷体_GB2312" w:cs="方正楷体_GB2312"/>
          <w:b w:val="0"/>
          <w:bCs w:val="0"/>
          <w:color w:val="auto"/>
          <w:sz w:val="32"/>
          <w:szCs w:val="32"/>
          <w:highlight w:val="none"/>
          <w:lang w:val="en-US" w:eastAsia="zh-CN"/>
        </w:rPr>
        <w:t>（牵头单位：省工业和信息化厅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配合单位：省发展改革委、省人力资源社会保障厅）</w:t>
      </w:r>
    </w:p>
    <w:p w14:paraId="0D0ABFF8">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二、</w:t>
      </w:r>
      <w:r>
        <w:rPr>
          <w:rFonts w:hint="eastAsia" w:ascii="黑体" w:hAnsi="黑体" w:eastAsia="黑体" w:cs="黑体"/>
          <w:b w:val="0"/>
          <w:bCs w:val="0"/>
          <w:color w:val="auto"/>
          <w:sz w:val="32"/>
          <w:szCs w:val="32"/>
          <w:highlight w:val="none"/>
          <w:lang w:val="en-US" w:eastAsia="zh-CN"/>
        </w:rPr>
        <w:t>强化</w:t>
      </w:r>
      <w:r>
        <w:rPr>
          <w:rFonts w:hint="eastAsia" w:ascii="黑体" w:hAnsi="黑体" w:eastAsia="黑体" w:cs="黑体"/>
          <w:b w:val="0"/>
          <w:bCs w:val="0"/>
          <w:color w:val="auto"/>
          <w:sz w:val="32"/>
          <w:szCs w:val="32"/>
          <w:highlight w:val="none"/>
        </w:rPr>
        <w:t>制造业</w:t>
      </w:r>
      <w:r>
        <w:rPr>
          <w:rFonts w:hint="eastAsia" w:ascii="黑体" w:hAnsi="黑体" w:eastAsia="黑体" w:cs="黑体"/>
          <w:b w:val="0"/>
          <w:bCs w:val="0"/>
          <w:color w:val="auto"/>
          <w:sz w:val="32"/>
          <w:szCs w:val="32"/>
          <w:highlight w:val="none"/>
          <w:lang w:val="en-US" w:eastAsia="zh-CN"/>
        </w:rPr>
        <w:t>企业</w:t>
      </w:r>
      <w:r>
        <w:rPr>
          <w:rFonts w:hint="eastAsia" w:ascii="黑体" w:hAnsi="黑体" w:eastAsia="黑体" w:cs="黑体"/>
          <w:b w:val="0"/>
          <w:bCs w:val="0"/>
          <w:color w:val="auto"/>
          <w:sz w:val="32"/>
          <w:szCs w:val="32"/>
          <w:highlight w:val="none"/>
        </w:rPr>
        <w:t>用工保障</w:t>
      </w:r>
    </w:p>
    <w:p w14:paraId="5E8EBB89">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lang w:val="en-US" w:eastAsia="zh-CN"/>
        </w:rPr>
        <w:t>（四）构建产业链人力资源服务网络</w:t>
      </w:r>
      <w:r>
        <w:rPr>
          <w:rFonts w:hint="default"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坚持人力资源服务机构与制造业产业链协调融合发展，</w:t>
      </w:r>
      <w:r>
        <w:rPr>
          <w:rFonts w:ascii="仿宋_GB2312" w:hAnsi="仿宋_GB2312" w:eastAsia="仿宋_GB2312" w:cs="仿宋_GB2312"/>
          <w:b w:val="0"/>
          <w:bCs w:val="0"/>
          <w:color w:val="auto"/>
          <w:sz w:val="32"/>
          <w:szCs w:val="32"/>
          <w:highlight w:val="none"/>
        </w:rPr>
        <w:t>引导人力资源服务机构</w:t>
      </w:r>
      <w:r>
        <w:rPr>
          <w:rFonts w:hint="eastAsia" w:ascii="仿宋_GB2312" w:hAnsi="仿宋_GB2312" w:eastAsia="仿宋_GB2312" w:cs="仿宋_GB2312"/>
          <w:b w:val="0"/>
          <w:bCs w:val="0"/>
          <w:color w:val="auto"/>
          <w:sz w:val="32"/>
          <w:szCs w:val="32"/>
          <w:highlight w:val="none"/>
          <w:lang w:val="en-US" w:eastAsia="zh-CN"/>
        </w:rPr>
        <w:t>围绕产业链部署服务链,</w:t>
      </w:r>
      <w:r>
        <w:rPr>
          <w:rFonts w:ascii="仿宋_GB2312" w:hAnsi="仿宋_GB2312" w:eastAsia="仿宋_GB2312" w:cs="仿宋_GB2312"/>
          <w:b w:val="0"/>
          <w:bCs w:val="0"/>
          <w:color w:val="auto"/>
          <w:sz w:val="32"/>
          <w:szCs w:val="32"/>
          <w:highlight w:val="none"/>
        </w:rPr>
        <w:t>联合制造业产业链上下游企业、行业组织、重点工业园区和先进制造业集群，提供覆盖产业链全环节的</w:t>
      </w:r>
      <w:r>
        <w:rPr>
          <w:rFonts w:hint="eastAsia" w:ascii="仿宋_GB2312" w:hAnsi="仿宋_GB2312" w:eastAsia="仿宋_GB2312" w:cs="仿宋_GB2312"/>
          <w:b w:val="0"/>
          <w:bCs w:val="0"/>
          <w:color w:val="auto"/>
          <w:sz w:val="32"/>
          <w:szCs w:val="32"/>
          <w:highlight w:val="none"/>
          <w:lang w:val="en-US" w:eastAsia="zh-CN"/>
        </w:rPr>
        <w:t>人力资源配置</w:t>
      </w:r>
      <w:r>
        <w:rPr>
          <w:rFonts w:hint="eastAsia" w:ascii="仿宋_GB2312" w:hAnsi="仿宋_GB2312" w:eastAsia="仿宋_GB2312" w:cs="仿宋_GB2312"/>
          <w:b w:val="0"/>
          <w:bCs w:val="0"/>
          <w:color w:val="auto"/>
          <w:sz w:val="32"/>
          <w:szCs w:val="32"/>
          <w:highlight w:val="none"/>
        </w:rPr>
        <w:t>垂类服务</w:t>
      </w:r>
      <w:r>
        <w:rPr>
          <w:rFonts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rPr>
        <w:t>围绕</w:t>
      </w:r>
      <w:r>
        <w:rPr>
          <w:rFonts w:hint="eastAsia" w:ascii="仿宋_GB2312" w:hAnsi="仿宋_GB2312" w:eastAsia="仿宋_GB2312" w:cs="仿宋_GB2312"/>
          <w:b w:val="0"/>
          <w:bCs w:val="0"/>
          <w:color w:val="auto"/>
          <w:sz w:val="32"/>
          <w:szCs w:val="32"/>
          <w:highlight w:val="none"/>
          <w:lang w:val="en-US" w:eastAsia="zh-CN"/>
        </w:rPr>
        <w:t>制造业</w:t>
      </w:r>
      <w:r>
        <w:rPr>
          <w:rFonts w:hint="eastAsia" w:ascii="仿宋_GB2312" w:hAnsi="仿宋_GB2312" w:eastAsia="仿宋_GB2312" w:cs="仿宋_GB2312"/>
          <w:b w:val="0"/>
          <w:bCs w:val="0"/>
          <w:color w:val="auto"/>
          <w:sz w:val="32"/>
          <w:szCs w:val="32"/>
          <w:highlight w:val="none"/>
        </w:rPr>
        <w:t>企业分布集中的重点产业链，采取政府指导、平台承办、双向互动的形式，常态化组织产业链供需见面、路演推介、座谈沙龙等系列活动，推动人力资源服务机构入链发展。</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配合单位：省工业和信息化厅、省工商联）</w:t>
      </w:r>
    </w:p>
    <w:p w14:paraId="636164FF">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楷体_GB2312" w:hAnsi="方正楷体_GB2312" w:eastAsia="方正楷体_GB2312" w:cs="方正楷体_GB2312"/>
          <w:b w:val="0"/>
          <w:bCs w:val="0"/>
          <w:color w:val="auto"/>
          <w:sz w:val="32"/>
          <w:szCs w:val="32"/>
          <w:highlight w:val="none"/>
        </w:rPr>
        <w:t>（</w:t>
      </w:r>
      <w:r>
        <w:rPr>
          <w:rFonts w:hint="eastAsia" w:ascii="方正楷体_GB2312" w:hAnsi="方正楷体_GB2312" w:eastAsia="方正楷体_GB2312" w:cs="方正楷体_GB2312"/>
          <w:b w:val="0"/>
          <w:bCs w:val="0"/>
          <w:color w:val="auto"/>
          <w:sz w:val="32"/>
          <w:szCs w:val="32"/>
          <w:highlight w:val="none"/>
          <w:lang w:val="en-US" w:eastAsia="zh-CN"/>
        </w:rPr>
        <w:t>五</w:t>
      </w:r>
      <w:r>
        <w:rPr>
          <w:rFonts w:hint="eastAsia" w:ascii="方正楷体_GB2312" w:hAnsi="方正楷体_GB2312" w:eastAsia="方正楷体_GB2312" w:cs="方正楷体_GB2312"/>
          <w:b w:val="0"/>
          <w:bCs w:val="0"/>
          <w:color w:val="auto"/>
          <w:sz w:val="32"/>
          <w:szCs w:val="32"/>
          <w:highlight w:val="none"/>
        </w:rPr>
        <w:t>）建立</w:t>
      </w:r>
      <w:r>
        <w:rPr>
          <w:rFonts w:hint="eastAsia" w:ascii="方正楷体_GB2312" w:hAnsi="方正楷体_GB2312" w:eastAsia="方正楷体_GB2312" w:cs="方正楷体_GB2312"/>
          <w:b w:val="0"/>
          <w:bCs w:val="0"/>
          <w:color w:val="auto"/>
          <w:sz w:val="32"/>
          <w:szCs w:val="32"/>
          <w:highlight w:val="none"/>
          <w:lang w:val="en-US" w:eastAsia="zh-CN"/>
        </w:rPr>
        <w:t>人力资源</w:t>
      </w:r>
      <w:r>
        <w:rPr>
          <w:rFonts w:hint="eastAsia" w:ascii="方正楷体_GB2312" w:hAnsi="方正楷体_GB2312" w:eastAsia="方正楷体_GB2312" w:cs="方正楷体_GB2312"/>
          <w:b w:val="0"/>
          <w:bCs w:val="0"/>
          <w:color w:val="auto"/>
          <w:sz w:val="32"/>
          <w:szCs w:val="32"/>
          <w:highlight w:val="none"/>
        </w:rPr>
        <w:t>调剂共享平台</w:t>
      </w:r>
      <w:r>
        <w:rPr>
          <w:rFonts w:hint="eastAsia" w:ascii="仿宋_GB2312" w:hAnsi="仿宋_GB2312" w:eastAsia="仿宋_GB2312" w:cs="仿宋_GB2312"/>
          <w:b w:val="0"/>
          <w:bCs w:val="0"/>
          <w:color w:val="auto"/>
          <w:sz w:val="32"/>
          <w:szCs w:val="32"/>
          <w:highlight w:val="none"/>
        </w:rPr>
        <w:t>。发挥市场化服务与公共就业服务协同作用，探索规上企业用工监测和重大项目服务保障机制，</w:t>
      </w:r>
      <w:r>
        <w:rPr>
          <w:rFonts w:ascii="仿宋_GB2312" w:hAnsi="仿宋_GB2312" w:eastAsia="仿宋_GB2312" w:cs="仿宋_GB2312"/>
          <w:b w:val="0"/>
          <w:bCs w:val="0"/>
          <w:color w:val="auto"/>
          <w:sz w:val="32"/>
          <w:szCs w:val="32"/>
          <w:highlight w:val="none"/>
        </w:rPr>
        <w:t>支持各市建设制造业人力资源协同调度平台，</w:t>
      </w:r>
      <w:r>
        <w:rPr>
          <w:rFonts w:hint="eastAsia" w:ascii="仿宋_GB2312" w:hAnsi="仿宋_GB2312" w:eastAsia="仿宋_GB2312" w:cs="仿宋_GB2312"/>
          <w:b w:val="0"/>
          <w:bCs w:val="0"/>
          <w:color w:val="auto"/>
          <w:sz w:val="32"/>
          <w:szCs w:val="32"/>
          <w:highlight w:val="none"/>
        </w:rPr>
        <w:t>出台用工需求和就业需求“两张清单”，形成“清单归集—精准服务—动态清零”闭环服务体系，推动</w:t>
      </w:r>
      <w:r>
        <w:rPr>
          <w:rFonts w:hint="eastAsia" w:ascii="仿宋_GB2312" w:hAnsi="仿宋_GB2312" w:eastAsia="仿宋_GB2312" w:cs="仿宋_GB2312"/>
          <w:b w:val="0"/>
          <w:bCs w:val="0"/>
          <w:color w:val="auto"/>
          <w:sz w:val="32"/>
          <w:szCs w:val="32"/>
          <w:highlight w:val="none"/>
          <w:lang w:eastAsia="zh-CN"/>
        </w:rPr>
        <w:t>人力资源服务机构</w:t>
      </w:r>
      <w:r>
        <w:rPr>
          <w:rFonts w:hint="eastAsia" w:ascii="仿宋_GB2312" w:hAnsi="仿宋_GB2312" w:eastAsia="仿宋_GB2312" w:cs="仿宋_GB2312"/>
          <w:b w:val="0"/>
          <w:bCs w:val="0"/>
          <w:color w:val="auto"/>
          <w:sz w:val="32"/>
          <w:szCs w:val="32"/>
          <w:highlight w:val="none"/>
        </w:rPr>
        <w:t>与先进制造业集群建立用工余缺调剂机制，破解季节性、结构性缺工难题。</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配合单位：省发展改革委、省工业和信息化厅）</w:t>
      </w:r>
    </w:p>
    <w:p w14:paraId="741A8F1E">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w:t>
      </w:r>
      <w:r>
        <w:rPr>
          <w:rFonts w:hint="eastAsia" w:ascii="方正楷体_GB2312" w:hAnsi="方正楷体_GB2312" w:eastAsia="方正楷体_GB2312" w:cs="方正楷体_GB2312"/>
          <w:b w:val="0"/>
          <w:bCs w:val="0"/>
          <w:color w:val="auto"/>
          <w:sz w:val="32"/>
          <w:szCs w:val="32"/>
          <w:highlight w:val="none"/>
          <w:lang w:val="en-US" w:eastAsia="zh-CN"/>
        </w:rPr>
        <w:t>六</w:t>
      </w:r>
      <w:r>
        <w:rPr>
          <w:rFonts w:hint="eastAsia" w:ascii="方正楷体_GB2312" w:hAnsi="方正楷体_GB2312" w:eastAsia="方正楷体_GB2312" w:cs="方正楷体_GB2312"/>
          <w:b w:val="0"/>
          <w:bCs w:val="0"/>
          <w:color w:val="auto"/>
          <w:sz w:val="32"/>
          <w:szCs w:val="32"/>
          <w:highlight w:val="none"/>
        </w:rPr>
        <w:t>）深化区域</w:t>
      </w:r>
      <w:r>
        <w:rPr>
          <w:rFonts w:hint="eastAsia" w:ascii="方正楷体_GB2312" w:hAnsi="方正楷体_GB2312" w:eastAsia="方正楷体_GB2312" w:cs="方正楷体_GB2312"/>
          <w:b w:val="0"/>
          <w:bCs w:val="0"/>
          <w:color w:val="auto"/>
          <w:sz w:val="32"/>
          <w:szCs w:val="32"/>
          <w:highlight w:val="none"/>
          <w:lang w:val="en-US" w:eastAsia="zh-CN"/>
        </w:rPr>
        <w:t>人力资源</w:t>
      </w:r>
      <w:r>
        <w:rPr>
          <w:rFonts w:hint="eastAsia" w:ascii="方正楷体_GB2312" w:hAnsi="方正楷体_GB2312" w:eastAsia="方正楷体_GB2312" w:cs="方正楷体_GB2312"/>
          <w:b w:val="0"/>
          <w:bCs w:val="0"/>
          <w:color w:val="auto"/>
          <w:sz w:val="32"/>
          <w:szCs w:val="32"/>
          <w:highlight w:val="none"/>
        </w:rPr>
        <w:t>协作对接</w:t>
      </w:r>
      <w:r>
        <w:rPr>
          <w:rFonts w:hint="eastAsia" w:ascii="仿宋_GB2312" w:hAnsi="仿宋_GB2312" w:eastAsia="仿宋_GB2312" w:cs="仿宋_GB2312"/>
          <w:b w:val="0"/>
          <w:bCs w:val="0"/>
          <w:color w:val="auto"/>
          <w:sz w:val="32"/>
          <w:szCs w:val="32"/>
          <w:highlight w:val="none"/>
        </w:rPr>
        <w:t>。深度对接京津冀协同发展</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落实</w:t>
      </w:r>
      <w:r>
        <w:rPr>
          <w:rFonts w:hint="eastAsia" w:ascii="仿宋_GB2312" w:hAnsi="仿宋_GB2312" w:eastAsia="仿宋_GB2312" w:cs="仿宋_GB2312"/>
          <w:b w:val="0"/>
          <w:bCs w:val="0"/>
          <w:color w:val="auto"/>
          <w:sz w:val="32"/>
          <w:szCs w:val="32"/>
          <w:highlight w:val="none"/>
        </w:rPr>
        <w:t>黄河流域生态保护和高质量发展国家战略，强化与京津冀人力资源领域战略合作，推动政策互通</w:t>
      </w:r>
      <w:r>
        <w:rPr>
          <w:rFonts w:hint="eastAsia" w:ascii="仿宋_GB2312" w:hAnsi="仿宋_GB2312" w:eastAsia="仿宋_GB2312" w:cs="仿宋_GB2312"/>
          <w:b w:val="0"/>
          <w:bCs w:val="0"/>
          <w:color w:val="auto"/>
          <w:sz w:val="32"/>
          <w:szCs w:val="32"/>
          <w:highlight w:val="none"/>
          <w:lang w:val="en-US" w:eastAsia="zh-CN"/>
        </w:rPr>
        <w:t>互联</w:t>
      </w:r>
      <w:r>
        <w:rPr>
          <w:rFonts w:hint="eastAsia" w:ascii="仿宋_GB2312" w:hAnsi="仿宋_GB2312" w:eastAsia="仿宋_GB2312" w:cs="仿宋_GB2312"/>
          <w:b w:val="0"/>
          <w:bCs w:val="0"/>
          <w:color w:val="auto"/>
          <w:sz w:val="32"/>
          <w:szCs w:val="32"/>
          <w:highlight w:val="none"/>
        </w:rPr>
        <w:t>。深化省内人力资源区域协作，发挥省会、胶东、鲁南三大经济圈</w:t>
      </w:r>
      <w:r>
        <w:rPr>
          <w:rFonts w:ascii="仿宋_GB2312" w:hAnsi="仿宋_GB2312" w:eastAsia="仿宋_GB2312" w:cs="仿宋_GB2312"/>
          <w:b w:val="0"/>
          <w:bCs w:val="0"/>
          <w:color w:val="auto"/>
          <w:sz w:val="32"/>
          <w:szCs w:val="32"/>
          <w:highlight w:val="none"/>
        </w:rPr>
        <w:t>联席会议制度</w:t>
      </w:r>
      <w:r>
        <w:rPr>
          <w:rFonts w:hint="eastAsia" w:ascii="仿宋_GB2312" w:hAnsi="仿宋_GB2312" w:eastAsia="仿宋_GB2312" w:cs="仿宋_GB2312"/>
          <w:b w:val="0"/>
          <w:bCs w:val="0"/>
          <w:color w:val="auto"/>
          <w:sz w:val="32"/>
          <w:szCs w:val="32"/>
          <w:highlight w:val="none"/>
        </w:rPr>
        <w:t>作用，形成需求共享、活动联办、资源整合的工作模式，轮值举办形式多样的先进制造业企业供需对接会，促进资源要素自由流动、高效配置。</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配合单位：省发展改革委、省工商联）</w:t>
      </w:r>
    </w:p>
    <w:p w14:paraId="30BB5F4A">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三</w:t>
      </w:r>
      <w:r>
        <w:rPr>
          <w:rFonts w:hint="eastAsia" w:ascii="黑体" w:hAnsi="黑体" w:eastAsia="黑体" w:cs="黑体"/>
          <w:b w:val="0"/>
          <w:bCs w:val="0"/>
          <w:color w:val="auto"/>
          <w:sz w:val="32"/>
          <w:szCs w:val="32"/>
          <w:highlight w:val="none"/>
        </w:rPr>
        <w:t>、完善</w:t>
      </w:r>
      <w:r>
        <w:rPr>
          <w:rFonts w:hint="eastAsia" w:ascii="黑体" w:hAnsi="黑体" w:eastAsia="黑体" w:cs="黑体"/>
          <w:b w:val="0"/>
          <w:bCs w:val="0"/>
          <w:color w:val="auto"/>
          <w:sz w:val="32"/>
          <w:szCs w:val="32"/>
          <w:highlight w:val="none"/>
          <w:lang w:val="en-US" w:eastAsia="zh-CN"/>
        </w:rPr>
        <w:t>制造业</w:t>
      </w:r>
      <w:r>
        <w:rPr>
          <w:rFonts w:hint="eastAsia" w:ascii="黑体" w:hAnsi="黑体" w:eastAsia="黑体" w:cs="黑体"/>
          <w:b w:val="0"/>
          <w:bCs w:val="0"/>
          <w:color w:val="auto"/>
          <w:sz w:val="32"/>
          <w:szCs w:val="32"/>
          <w:highlight w:val="none"/>
        </w:rPr>
        <w:t>人才引育支撑</w:t>
      </w:r>
    </w:p>
    <w:p w14:paraId="2396DDE5">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七</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强化高端人才精准匹配</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引导人力资源服务机构深度参与制造业“揭榜挂帅”项目，聚焦标志性产业链高端紧缺人才需求，支持各市搭建全球化猎聘网络，加强高技能人才需求预测</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建立</w:t>
      </w:r>
      <w:r>
        <w:rPr>
          <w:rFonts w:hint="eastAsia" w:ascii="仿宋_GB2312" w:hAnsi="仿宋_GB2312" w:eastAsia="仿宋_GB2312" w:cs="仿宋_GB2312"/>
          <w:b w:val="0"/>
          <w:bCs w:val="0"/>
          <w:color w:val="auto"/>
          <w:sz w:val="32"/>
          <w:szCs w:val="32"/>
          <w:highlight w:val="none"/>
          <w:lang w:val="en-US" w:eastAsia="zh-CN"/>
        </w:rPr>
        <w:t>并共享</w:t>
      </w:r>
      <w:r>
        <w:rPr>
          <w:rFonts w:hint="eastAsia" w:ascii="仿宋_GB2312" w:hAnsi="仿宋_GB2312" w:eastAsia="仿宋_GB2312" w:cs="仿宋_GB2312"/>
          <w:b w:val="0"/>
          <w:bCs w:val="0"/>
          <w:color w:val="auto"/>
          <w:sz w:val="32"/>
          <w:szCs w:val="32"/>
          <w:highlight w:val="none"/>
        </w:rPr>
        <w:t>动态更新的</w:t>
      </w:r>
      <w:r>
        <w:rPr>
          <w:rFonts w:hint="eastAsia" w:ascii="仿宋_GB2312" w:hAnsi="仿宋_GB2312" w:eastAsia="仿宋_GB2312" w:cs="仿宋_GB2312"/>
          <w:b w:val="0"/>
          <w:bCs w:val="0"/>
          <w:color w:val="auto"/>
          <w:sz w:val="32"/>
          <w:szCs w:val="32"/>
          <w:highlight w:val="none"/>
          <w:lang w:val="en-US" w:eastAsia="zh-CN"/>
        </w:rPr>
        <w:t>重点产业人才需求导向目录</w:t>
      </w:r>
      <w:r>
        <w:rPr>
          <w:rFonts w:hint="eastAsia" w:ascii="仿宋_GB2312" w:hAnsi="仿宋_GB2312" w:eastAsia="仿宋_GB2312" w:cs="仿宋_GB2312"/>
          <w:b w:val="0"/>
          <w:bCs w:val="0"/>
          <w:color w:val="auto"/>
          <w:sz w:val="32"/>
          <w:szCs w:val="32"/>
          <w:highlight w:val="none"/>
        </w:rPr>
        <w:t>，集成人才画像、技能图谱、薪酬对标等核心指标，提升高端人才精准匹配能力。</w:t>
      </w:r>
      <w:r>
        <w:rPr>
          <w:rFonts w:hint="eastAsia" w:ascii="方正楷体_GB2312" w:hAnsi="方正楷体_GB2312" w:eastAsia="方正楷体_GB2312" w:cs="方正楷体_GB2312"/>
          <w:b w:val="0"/>
          <w:bCs w:val="0"/>
          <w:color w:val="auto"/>
          <w:sz w:val="32"/>
          <w:szCs w:val="32"/>
          <w:highlight w:val="none"/>
          <w:lang w:val="en-US" w:eastAsia="zh-CN"/>
        </w:rPr>
        <w:t>（牵头单位：省工业和信息化厅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配合单位：省人力资源社会保障厅）</w:t>
      </w:r>
    </w:p>
    <w:p w14:paraId="0BE5772A">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w:t>
      </w:r>
      <w:r>
        <w:rPr>
          <w:rFonts w:hint="eastAsia" w:ascii="方正楷体_GB2312" w:hAnsi="方正楷体_GB2312" w:eastAsia="方正楷体_GB2312" w:cs="方正楷体_GB2312"/>
          <w:b w:val="0"/>
          <w:bCs w:val="0"/>
          <w:color w:val="auto"/>
          <w:sz w:val="32"/>
          <w:szCs w:val="32"/>
          <w:highlight w:val="none"/>
          <w:lang w:val="en-US" w:eastAsia="zh-CN"/>
        </w:rPr>
        <w:t>八</w:t>
      </w:r>
      <w:r>
        <w:rPr>
          <w:rFonts w:hint="eastAsia" w:ascii="方正楷体_GB2312" w:hAnsi="方正楷体_GB2312" w:eastAsia="方正楷体_GB2312" w:cs="方正楷体_GB2312"/>
          <w:b w:val="0"/>
          <w:bCs w:val="0"/>
          <w:color w:val="auto"/>
          <w:sz w:val="32"/>
          <w:szCs w:val="32"/>
          <w:highlight w:val="none"/>
        </w:rPr>
        <w:t>）推行定制化引才服务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支持人力资源服务机构为制造业企业提供“一企一策”高端人才引入专项方案，结合企业技术路线图与产能扩张计划，定制人才寻访、薪酬设计、跨境协同一体化服务。对省级以上制造业单项冠军、独角兽企业，</w:t>
      </w:r>
      <w:r>
        <w:rPr>
          <w:rFonts w:hint="eastAsia" w:ascii="仿宋_GB2312" w:hAnsi="仿宋_GB2312" w:eastAsia="仿宋_GB2312" w:cs="仿宋_GB2312"/>
          <w:b w:val="0"/>
          <w:bCs w:val="0"/>
          <w:color w:val="auto"/>
          <w:sz w:val="32"/>
          <w:szCs w:val="32"/>
          <w:highlight w:val="none"/>
          <w:lang w:val="en-US" w:eastAsia="zh-CN"/>
        </w:rPr>
        <w:t>探索</w:t>
      </w:r>
      <w:r>
        <w:rPr>
          <w:rFonts w:hint="eastAsia" w:ascii="仿宋_GB2312" w:hAnsi="仿宋_GB2312" w:eastAsia="仿宋_GB2312" w:cs="仿宋_GB2312"/>
          <w:b w:val="0"/>
          <w:bCs w:val="0"/>
          <w:color w:val="auto"/>
          <w:sz w:val="32"/>
          <w:szCs w:val="32"/>
          <w:highlight w:val="none"/>
        </w:rPr>
        <w:t>实施“人才陪跑”计划，</w:t>
      </w:r>
      <w:r>
        <w:rPr>
          <w:rFonts w:hint="eastAsia" w:ascii="仿宋_GB2312" w:hAnsi="仿宋_GB2312" w:eastAsia="仿宋_GB2312" w:cs="仿宋_GB2312"/>
          <w:b w:val="0"/>
          <w:bCs w:val="0"/>
          <w:color w:val="auto"/>
          <w:sz w:val="32"/>
          <w:szCs w:val="32"/>
          <w:highlight w:val="none"/>
          <w:lang w:val="en-US" w:eastAsia="zh-CN"/>
        </w:rPr>
        <w:t>提升</w:t>
      </w:r>
      <w:r>
        <w:rPr>
          <w:rFonts w:hint="eastAsia" w:ascii="仿宋_GB2312" w:hAnsi="仿宋_GB2312" w:eastAsia="仿宋_GB2312" w:cs="仿宋_GB2312"/>
          <w:b w:val="0"/>
          <w:bCs w:val="0"/>
          <w:color w:val="auto"/>
          <w:sz w:val="32"/>
          <w:szCs w:val="32"/>
          <w:highlight w:val="none"/>
        </w:rPr>
        <w:t>人才留存管理</w:t>
      </w:r>
      <w:r>
        <w:rPr>
          <w:rFonts w:hint="eastAsia" w:ascii="仿宋_GB2312" w:hAnsi="仿宋_GB2312" w:eastAsia="仿宋_GB2312" w:cs="仿宋_GB2312"/>
          <w:b w:val="0"/>
          <w:bCs w:val="0"/>
          <w:color w:val="auto"/>
          <w:sz w:val="32"/>
          <w:szCs w:val="32"/>
          <w:highlight w:val="none"/>
          <w:lang w:val="en-US" w:eastAsia="zh-CN"/>
        </w:rPr>
        <w:t>效能</w:t>
      </w:r>
      <w:r>
        <w:rPr>
          <w:rFonts w:hint="eastAsia" w:ascii="仿宋_GB2312" w:hAnsi="仿宋_GB2312" w:eastAsia="仿宋_GB2312" w:cs="仿宋_GB2312"/>
          <w:b w:val="0"/>
          <w:bCs w:val="0"/>
          <w:color w:val="auto"/>
          <w:sz w:val="32"/>
          <w:szCs w:val="32"/>
          <w:highlight w:val="none"/>
        </w:rPr>
        <w:t>。</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w:t>
      </w:r>
    </w:p>
    <w:p w14:paraId="45D5E52E">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四、构建产教融合型培训体系</w:t>
      </w:r>
    </w:p>
    <w:p w14:paraId="7FE6F1B0">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w:t>
      </w:r>
      <w:r>
        <w:rPr>
          <w:rFonts w:hint="eastAsia" w:ascii="方正楷体_GB2312" w:hAnsi="方正楷体_GB2312" w:eastAsia="方正楷体_GB2312" w:cs="方正楷体_GB2312"/>
          <w:b w:val="0"/>
          <w:bCs w:val="0"/>
          <w:color w:val="auto"/>
          <w:sz w:val="32"/>
          <w:szCs w:val="32"/>
          <w:highlight w:val="none"/>
          <w:lang w:val="en-US" w:eastAsia="zh-CN"/>
        </w:rPr>
        <w:t>九</w:t>
      </w:r>
      <w:r>
        <w:rPr>
          <w:rFonts w:hint="eastAsia" w:ascii="方正楷体_GB2312" w:hAnsi="方正楷体_GB2312" w:eastAsia="方正楷体_GB2312" w:cs="方正楷体_GB2312"/>
          <w:b w:val="0"/>
          <w:bCs w:val="0"/>
          <w:color w:val="auto"/>
          <w:sz w:val="32"/>
          <w:szCs w:val="32"/>
          <w:highlight w:val="none"/>
        </w:rPr>
        <w:t>）夯实产教融合根基</w:t>
      </w:r>
      <w:r>
        <w:rPr>
          <w:rFonts w:hint="eastAsia" w:ascii="仿宋_GB2312" w:hAnsi="仿宋_GB2312" w:eastAsia="仿宋_GB2312" w:cs="仿宋_GB2312"/>
          <w:b w:val="0"/>
          <w:bCs w:val="0"/>
          <w:color w:val="auto"/>
          <w:sz w:val="32"/>
          <w:szCs w:val="32"/>
          <w:highlight w:val="none"/>
        </w:rPr>
        <w:t>。鼓励制造业链主企业联合人力资源服务机构组建产教融合共同体，推动教育链、人才链、产业链、创新链深度耦合，通过校企协同育人、科研项目共建等，建立制造业人才对接协作模式，提供定制化人才需求解决方案。</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w:t>
      </w:r>
    </w:p>
    <w:p w14:paraId="470C1510">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（十）共建技能培养载体</w:t>
      </w:r>
      <w:r>
        <w:rPr>
          <w:rFonts w:hint="eastAsia" w:ascii="仿宋_GB2312" w:hAnsi="仿宋_GB2312" w:eastAsia="仿宋_GB2312" w:cs="仿宋_GB2312"/>
          <w:b w:val="0"/>
          <w:bCs w:val="0"/>
          <w:color w:val="auto"/>
          <w:sz w:val="32"/>
          <w:szCs w:val="32"/>
          <w:highlight w:val="none"/>
        </w:rPr>
        <w:t>。支持</w:t>
      </w:r>
      <w:r>
        <w:rPr>
          <w:rFonts w:hint="eastAsia" w:ascii="仿宋_GB2312" w:hAnsi="仿宋_GB2312" w:eastAsia="仿宋_GB2312" w:cs="仿宋_GB2312"/>
          <w:b w:val="0"/>
          <w:bCs w:val="0"/>
          <w:color w:val="auto"/>
          <w:sz w:val="32"/>
          <w:szCs w:val="32"/>
          <w:highlight w:val="none"/>
          <w:lang w:eastAsia="zh-CN"/>
        </w:rPr>
        <w:t>人力资源服务机构</w:t>
      </w:r>
      <w:r>
        <w:rPr>
          <w:rFonts w:hint="eastAsia" w:ascii="仿宋_GB2312" w:hAnsi="仿宋_GB2312" w:eastAsia="仿宋_GB2312" w:cs="仿宋_GB2312"/>
          <w:b w:val="0"/>
          <w:bCs w:val="0"/>
          <w:color w:val="auto"/>
          <w:sz w:val="32"/>
          <w:szCs w:val="32"/>
          <w:highlight w:val="none"/>
        </w:rPr>
        <w:t>联合技工院校、制造业企业共建跨企业培训中心，开发“订单式”培训项目，推动技能人才供给与产业需求精准匹配。围绕我省工业经济“头号工程”用工需求</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编制</w:t>
      </w:r>
      <w:r>
        <w:rPr>
          <w:rFonts w:hint="eastAsia" w:ascii="仿宋_GB2312" w:hAnsi="仿宋_GB2312" w:eastAsia="仿宋_GB2312" w:cs="仿宋_GB2312"/>
          <w:b w:val="0"/>
          <w:bCs w:val="0"/>
          <w:color w:val="auto"/>
          <w:sz w:val="32"/>
          <w:szCs w:val="32"/>
          <w:highlight w:val="none"/>
        </w:rPr>
        <w:t>更新补贴性职业技能培训需求项目指导目录</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符合条件人员</w:t>
      </w:r>
      <w:r>
        <w:rPr>
          <w:rFonts w:hint="default" w:ascii="仿宋_GB2312" w:hAnsi="仿宋_GB2312" w:eastAsia="仿宋_GB2312" w:cs="仿宋_GB2312"/>
          <w:b w:val="0"/>
          <w:bCs w:val="0"/>
          <w:color w:val="auto"/>
          <w:sz w:val="32"/>
          <w:szCs w:val="32"/>
          <w:highlight w:val="none"/>
        </w:rPr>
        <w:t>按规定享受培训补贴政策</w:t>
      </w:r>
      <w:r>
        <w:rPr>
          <w:rFonts w:hint="eastAsia" w:ascii="仿宋_GB2312" w:hAnsi="仿宋_GB2312" w:eastAsia="仿宋_GB2312" w:cs="仿宋_GB2312"/>
          <w:b w:val="0"/>
          <w:bCs w:val="0"/>
          <w:color w:val="auto"/>
          <w:sz w:val="32"/>
          <w:szCs w:val="32"/>
          <w:highlight w:val="none"/>
        </w:rPr>
        <w:t>，进一步提升</w:t>
      </w:r>
      <w:r>
        <w:rPr>
          <w:rFonts w:hint="eastAsia" w:ascii="仿宋_GB2312" w:hAnsi="仿宋_GB2312" w:eastAsia="仿宋_GB2312" w:cs="仿宋_GB2312"/>
          <w:b w:val="0"/>
          <w:bCs w:val="0"/>
          <w:color w:val="auto"/>
          <w:sz w:val="32"/>
          <w:szCs w:val="32"/>
          <w:highlight w:val="none"/>
          <w:lang w:val="en-US" w:eastAsia="zh-CN"/>
        </w:rPr>
        <w:t>职业</w:t>
      </w:r>
      <w:r>
        <w:rPr>
          <w:rFonts w:hint="eastAsia" w:ascii="仿宋_GB2312" w:hAnsi="仿宋_GB2312" w:eastAsia="仿宋_GB2312" w:cs="仿宋_GB2312"/>
          <w:b w:val="0"/>
          <w:bCs w:val="0"/>
          <w:color w:val="auto"/>
          <w:sz w:val="32"/>
          <w:szCs w:val="32"/>
          <w:highlight w:val="none"/>
        </w:rPr>
        <w:t>培训精准性和实效性</w:t>
      </w:r>
      <w:r>
        <w:rPr>
          <w:rFonts w:hint="default" w:ascii="仿宋_GB2312" w:hAnsi="仿宋_GB2312" w:eastAsia="仿宋_GB2312" w:cs="仿宋_GB2312"/>
          <w:b w:val="0"/>
          <w:bCs w:val="0"/>
          <w:color w:val="auto"/>
          <w:sz w:val="32"/>
          <w:szCs w:val="32"/>
          <w:highlight w:val="none"/>
        </w:rPr>
        <w:t>。</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w:t>
      </w:r>
    </w:p>
    <w:p w14:paraId="7DD05CC6">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一</w:t>
      </w:r>
      <w:r>
        <w:rPr>
          <w:rFonts w:hint="eastAsia" w:ascii="方正楷体_GB2312" w:hAnsi="方正楷体_GB2312" w:eastAsia="方正楷体_GB2312" w:cs="方正楷体_GB2312"/>
          <w:b w:val="0"/>
          <w:bCs w:val="0"/>
          <w:color w:val="auto"/>
          <w:sz w:val="32"/>
          <w:szCs w:val="32"/>
          <w:highlight w:val="none"/>
        </w:rPr>
        <w:t>）拓宽制造业人才培养方式</w:t>
      </w:r>
      <w:r>
        <w:rPr>
          <w:rFonts w:hint="eastAsia" w:ascii="仿宋_GB2312" w:hAnsi="仿宋_GB2312" w:eastAsia="仿宋_GB2312" w:cs="仿宋_GB2312"/>
          <w:b w:val="0"/>
          <w:bCs w:val="0"/>
          <w:color w:val="auto"/>
          <w:sz w:val="32"/>
          <w:szCs w:val="32"/>
          <w:highlight w:val="none"/>
          <w:lang w:eastAsia="zh-CN"/>
        </w:rPr>
        <w:t>。推动多元化人力资源服务模式的创新和发展，支持人力资源服务机构创新发展数字化人力资源管理，通过网络技术和互联网平台，提供在线教育、定制化培训、职业规划、绩效管理等服务，满足不同行业制造业企业的需求。</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配合单位：省工业和信息化厅、省工商联）</w:t>
      </w:r>
    </w:p>
    <w:p w14:paraId="46C7849A">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五、推动制造业人力资源管理赋能</w:t>
      </w:r>
    </w:p>
    <w:p w14:paraId="2DC0DC77">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二</w:t>
      </w:r>
      <w:r>
        <w:rPr>
          <w:rFonts w:hint="eastAsia" w:ascii="方正楷体_GB2312" w:hAnsi="方正楷体_GB2312" w:eastAsia="方正楷体_GB2312" w:cs="方正楷体_GB2312"/>
          <w:b w:val="0"/>
          <w:bCs w:val="0"/>
          <w:color w:val="auto"/>
          <w:sz w:val="32"/>
          <w:szCs w:val="32"/>
          <w:highlight w:val="none"/>
        </w:rPr>
        <w:t>）发展高端</w:t>
      </w:r>
      <w:r>
        <w:rPr>
          <w:rFonts w:hint="eastAsia" w:ascii="方正楷体_GB2312" w:hAnsi="方正楷体_GB2312" w:eastAsia="方正楷体_GB2312" w:cs="方正楷体_GB2312"/>
          <w:b w:val="0"/>
          <w:bCs w:val="0"/>
          <w:color w:val="auto"/>
          <w:sz w:val="32"/>
          <w:szCs w:val="32"/>
          <w:highlight w:val="none"/>
          <w:lang w:val="en-US" w:eastAsia="zh-CN"/>
        </w:rPr>
        <w:t>人力资源</w:t>
      </w:r>
      <w:r>
        <w:rPr>
          <w:rFonts w:hint="eastAsia" w:ascii="方正楷体_GB2312" w:hAnsi="方正楷体_GB2312" w:eastAsia="方正楷体_GB2312" w:cs="方正楷体_GB2312"/>
          <w:b w:val="0"/>
          <w:bCs w:val="0"/>
          <w:color w:val="auto"/>
          <w:sz w:val="32"/>
          <w:szCs w:val="32"/>
          <w:highlight w:val="none"/>
        </w:rPr>
        <w:t>服务</w:t>
      </w:r>
      <w:r>
        <w:rPr>
          <w:rFonts w:hint="eastAsia" w:ascii="方正楷体_GB2312" w:hAnsi="方正楷体_GB2312" w:eastAsia="方正楷体_GB2312" w:cs="方正楷体_GB2312"/>
          <w:b w:val="0"/>
          <w:bCs w:val="0"/>
          <w:color w:val="auto"/>
          <w:sz w:val="32"/>
          <w:szCs w:val="32"/>
          <w:highlight w:val="none"/>
          <w:lang w:val="en-US" w:eastAsia="zh-CN"/>
        </w:rPr>
        <w:t>业态</w:t>
      </w:r>
      <w:r>
        <w:rPr>
          <w:rFonts w:hint="eastAsia" w:ascii="仿宋_GB2312" w:hAnsi="仿宋_GB2312" w:eastAsia="仿宋_GB2312" w:cs="仿宋_GB2312"/>
          <w:b w:val="0"/>
          <w:bCs w:val="0"/>
          <w:color w:val="auto"/>
          <w:sz w:val="32"/>
          <w:szCs w:val="32"/>
          <w:highlight w:val="none"/>
        </w:rPr>
        <w:t>。鼓励人力资源服务机构深度对接全省制造业发展战略，聚焦数字化智能化转型与柔性生产组织变革需求，</w:t>
      </w:r>
      <w:r>
        <w:rPr>
          <w:rFonts w:hint="eastAsia" w:ascii="仿宋_GB2312" w:hAnsi="仿宋_GB2312" w:eastAsia="仿宋_GB2312" w:cs="仿宋_GB2312"/>
          <w:b w:val="0"/>
          <w:bCs w:val="0"/>
          <w:color w:val="auto"/>
          <w:sz w:val="32"/>
          <w:szCs w:val="32"/>
          <w:highlight w:val="none"/>
          <w:lang w:val="en-US" w:eastAsia="zh-CN"/>
        </w:rPr>
        <w:t>提供定制化</w:t>
      </w:r>
      <w:r>
        <w:rPr>
          <w:rFonts w:hint="eastAsia" w:ascii="仿宋_GB2312" w:hAnsi="仿宋_GB2312" w:eastAsia="仿宋_GB2312" w:cs="仿宋_GB2312"/>
          <w:b w:val="0"/>
          <w:bCs w:val="0"/>
          <w:color w:val="auto"/>
          <w:sz w:val="32"/>
          <w:szCs w:val="32"/>
          <w:highlight w:val="none"/>
        </w:rPr>
        <w:t>人力资源管理咨询、薪酬绩效设计、组织文化建设等高端服务，助力制造业企业特别是独角兽企业、高新技术企业、科技领军企业提升人力资源战略管理水平。</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配合单位：省工业和信息化厅、省工商联）</w:t>
      </w:r>
    </w:p>
    <w:p w14:paraId="12989ECE">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三</w:t>
      </w:r>
      <w:r>
        <w:rPr>
          <w:rFonts w:hint="eastAsia" w:ascii="方正楷体_GB2312" w:hAnsi="方正楷体_GB2312" w:eastAsia="方正楷体_GB2312" w:cs="方正楷体_GB2312"/>
          <w:b w:val="0"/>
          <w:bCs w:val="0"/>
          <w:color w:val="auto"/>
          <w:sz w:val="32"/>
          <w:szCs w:val="32"/>
          <w:highlight w:val="none"/>
        </w:rPr>
        <w:t>）培育专业</w:t>
      </w:r>
      <w:r>
        <w:rPr>
          <w:rFonts w:hint="eastAsia" w:ascii="方正楷体_GB2312" w:hAnsi="方正楷体_GB2312" w:eastAsia="方正楷体_GB2312" w:cs="方正楷体_GB2312"/>
          <w:b w:val="0"/>
          <w:bCs w:val="0"/>
          <w:color w:val="auto"/>
          <w:sz w:val="32"/>
          <w:szCs w:val="32"/>
          <w:highlight w:val="none"/>
          <w:lang w:val="en-US" w:eastAsia="zh-CN"/>
        </w:rPr>
        <w:t>人力资源</w:t>
      </w:r>
      <w:r>
        <w:rPr>
          <w:rFonts w:hint="eastAsia" w:ascii="方正楷体_GB2312" w:hAnsi="方正楷体_GB2312" w:eastAsia="方正楷体_GB2312" w:cs="方正楷体_GB2312"/>
          <w:b w:val="0"/>
          <w:bCs w:val="0"/>
          <w:color w:val="auto"/>
          <w:sz w:val="32"/>
          <w:szCs w:val="32"/>
          <w:highlight w:val="none"/>
        </w:rPr>
        <w:t>服务机构</w:t>
      </w:r>
      <w:r>
        <w:rPr>
          <w:rFonts w:hint="eastAsia" w:ascii="仿宋_GB2312" w:hAnsi="仿宋_GB2312" w:eastAsia="仿宋_GB2312" w:cs="仿宋_GB2312"/>
          <w:b w:val="0"/>
          <w:bCs w:val="0"/>
          <w:color w:val="auto"/>
          <w:sz w:val="32"/>
          <w:szCs w:val="32"/>
          <w:highlight w:val="none"/>
        </w:rPr>
        <w:t>。支持大中型制造业企业以独资、兼并、收购、重组、联盟等方式，依法成立具有独立法人资格的人力资源服务企业，鼓励制造业企业探索股权合作、合资运营等多元资本参与模式，以入股、融资</w:t>
      </w:r>
      <w:r>
        <w:rPr>
          <w:rFonts w:hint="eastAsia" w:ascii="仿宋_GB2312" w:hAnsi="仿宋_GB2312" w:eastAsia="仿宋_GB2312" w:cs="仿宋_GB2312"/>
          <w:b w:val="0"/>
          <w:bCs w:val="0"/>
          <w:color w:val="auto"/>
          <w:sz w:val="32"/>
          <w:szCs w:val="32"/>
          <w:highlight w:val="none"/>
          <w:lang w:val="en-US" w:eastAsia="zh-CN"/>
        </w:rPr>
        <w:t>合作</w:t>
      </w:r>
      <w:r>
        <w:rPr>
          <w:rFonts w:hint="eastAsia" w:ascii="仿宋_GB2312" w:hAnsi="仿宋_GB2312" w:eastAsia="仿宋_GB2312" w:cs="仿宋_GB2312"/>
          <w:b w:val="0"/>
          <w:bCs w:val="0"/>
          <w:color w:val="auto"/>
          <w:sz w:val="32"/>
          <w:szCs w:val="32"/>
          <w:highlight w:val="none"/>
        </w:rPr>
        <w:t>等形式共建人力资源服务机构</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聚焦先进制造业实际发展需求</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完善</w:t>
      </w:r>
      <w:r>
        <w:rPr>
          <w:rFonts w:hint="eastAsia" w:ascii="仿宋_GB2312" w:hAnsi="仿宋_GB2312" w:eastAsia="仿宋_GB2312" w:cs="仿宋_GB2312"/>
          <w:b w:val="0"/>
          <w:bCs w:val="0"/>
          <w:color w:val="auto"/>
          <w:sz w:val="32"/>
          <w:szCs w:val="32"/>
          <w:highlight w:val="none"/>
        </w:rPr>
        <w:t>覆盖制造业</w:t>
      </w:r>
      <w:r>
        <w:rPr>
          <w:rFonts w:hint="eastAsia" w:ascii="仿宋_GB2312" w:hAnsi="仿宋_GB2312" w:eastAsia="仿宋_GB2312" w:cs="仿宋_GB2312"/>
          <w:b w:val="0"/>
          <w:bCs w:val="0"/>
          <w:color w:val="auto"/>
          <w:sz w:val="32"/>
          <w:szCs w:val="32"/>
          <w:highlight w:val="none"/>
          <w:lang w:val="en-US" w:eastAsia="zh-CN"/>
        </w:rPr>
        <w:t>产业链全链条</w:t>
      </w:r>
      <w:r>
        <w:rPr>
          <w:rFonts w:hint="eastAsia" w:ascii="仿宋_GB2312" w:hAnsi="仿宋_GB2312" w:eastAsia="仿宋_GB2312" w:cs="仿宋_GB2312"/>
          <w:b w:val="0"/>
          <w:bCs w:val="0"/>
          <w:color w:val="auto"/>
          <w:sz w:val="32"/>
          <w:szCs w:val="32"/>
          <w:highlight w:val="none"/>
        </w:rPr>
        <w:t>专业服务体系。</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w:t>
      </w:r>
    </w:p>
    <w:p w14:paraId="38BA3E4E">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四</w:t>
      </w:r>
      <w:r>
        <w:rPr>
          <w:rFonts w:hint="eastAsia" w:ascii="方正楷体_GB2312" w:hAnsi="方正楷体_GB2312" w:eastAsia="方正楷体_GB2312" w:cs="方正楷体_GB2312"/>
          <w:b w:val="0"/>
          <w:bCs w:val="0"/>
          <w:color w:val="auto"/>
          <w:sz w:val="32"/>
          <w:szCs w:val="32"/>
          <w:highlight w:val="none"/>
        </w:rPr>
        <w:t>）</w:t>
      </w:r>
      <w:r>
        <w:rPr>
          <w:rFonts w:hint="eastAsia" w:ascii="方正楷体_GB2312" w:hAnsi="方正楷体_GB2312" w:eastAsia="方正楷体_GB2312" w:cs="方正楷体_GB2312"/>
          <w:b w:val="0"/>
          <w:bCs w:val="0"/>
          <w:color w:val="auto"/>
          <w:sz w:val="32"/>
          <w:szCs w:val="32"/>
          <w:highlight w:val="none"/>
          <w:lang w:val="en-US" w:eastAsia="zh-CN"/>
        </w:rPr>
        <w:t>助力</w:t>
      </w:r>
      <w:r>
        <w:rPr>
          <w:rFonts w:hint="eastAsia" w:ascii="方正楷体_GB2312" w:hAnsi="方正楷体_GB2312" w:eastAsia="方正楷体_GB2312" w:cs="方正楷体_GB2312"/>
          <w:b w:val="0"/>
          <w:bCs w:val="0"/>
          <w:color w:val="auto"/>
          <w:sz w:val="32"/>
          <w:szCs w:val="32"/>
          <w:highlight w:val="none"/>
        </w:rPr>
        <w:t>中小</w:t>
      </w:r>
      <w:r>
        <w:rPr>
          <w:rFonts w:hint="eastAsia" w:ascii="方正楷体_GB2312" w:hAnsi="方正楷体_GB2312" w:eastAsia="方正楷体_GB2312" w:cs="方正楷体_GB2312"/>
          <w:b w:val="0"/>
          <w:bCs w:val="0"/>
          <w:color w:val="auto"/>
          <w:sz w:val="32"/>
          <w:szCs w:val="32"/>
          <w:highlight w:val="none"/>
          <w:lang w:val="en-US" w:eastAsia="zh-CN"/>
        </w:rPr>
        <w:t>制造业</w:t>
      </w:r>
      <w:r>
        <w:rPr>
          <w:rFonts w:hint="eastAsia" w:ascii="方正楷体_GB2312" w:hAnsi="方正楷体_GB2312" w:eastAsia="方正楷体_GB2312" w:cs="方正楷体_GB2312"/>
          <w:b w:val="0"/>
          <w:bCs w:val="0"/>
          <w:color w:val="auto"/>
          <w:sz w:val="32"/>
          <w:szCs w:val="32"/>
          <w:highlight w:val="none"/>
        </w:rPr>
        <w:t>企业转型</w:t>
      </w:r>
      <w:r>
        <w:rPr>
          <w:rFonts w:hint="eastAsia" w:ascii="仿宋_GB2312" w:hAnsi="仿宋_GB2312" w:eastAsia="仿宋_GB2312" w:cs="仿宋_GB2312"/>
          <w:b w:val="0"/>
          <w:bCs w:val="0"/>
          <w:color w:val="auto"/>
          <w:sz w:val="32"/>
          <w:szCs w:val="32"/>
          <w:highlight w:val="none"/>
        </w:rPr>
        <w:t>。鼓励人力资源服务机构深度参与制造企业人力资源管理，重点面向中小型制造业企业，提供智能化转型集成服务</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开展集成式培训、订单式问诊，结合“人力资源+AI”应用，开发轻量化智能匹配系统，促进资源共享与效能提升，</w:t>
      </w:r>
      <w:r>
        <w:rPr>
          <w:rFonts w:hint="eastAsia" w:ascii="仿宋_GB2312" w:hAnsi="仿宋_GB2312" w:eastAsia="仿宋_GB2312" w:cs="仿宋_GB2312"/>
          <w:b w:val="0"/>
          <w:bCs w:val="0"/>
          <w:color w:val="auto"/>
          <w:sz w:val="32"/>
          <w:szCs w:val="32"/>
          <w:highlight w:val="none"/>
          <w:shd w:val="clear" w:color="auto" w:fill="FFFFFF"/>
        </w:rPr>
        <w:t>助力制造</w:t>
      </w:r>
      <w:r>
        <w:rPr>
          <w:rFonts w:hint="eastAsia" w:ascii="仿宋_GB2312" w:hAnsi="仿宋_GB2312" w:eastAsia="仿宋_GB2312" w:cs="仿宋_GB2312"/>
          <w:b w:val="0"/>
          <w:bCs w:val="0"/>
          <w:color w:val="auto"/>
          <w:sz w:val="32"/>
          <w:szCs w:val="32"/>
          <w:highlight w:val="none"/>
          <w:shd w:val="clear" w:color="auto" w:fill="FFFFFF"/>
          <w:lang w:val="en-US" w:eastAsia="zh-CN"/>
        </w:rPr>
        <w:t>业</w:t>
      </w:r>
      <w:r>
        <w:rPr>
          <w:rFonts w:hint="eastAsia" w:ascii="仿宋_GB2312" w:hAnsi="仿宋_GB2312" w:eastAsia="仿宋_GB2312" w:cs="仿宋_GB2312"/>
          <w:b w:val="0"/>
          <w:bCs w:val="0"/>
          <w:color w:val="auto"/>
          <w:sz w:val="32"/>
          <w:szCs w:val="32"/>
          <w:highlight w:val="none"/>
          <w:shd w:val="clear" w:color="auto" w:fill="FFFFFF"/>
        </w:rPr>
        <w:t>企业建立可持续发展的人力资源工作体系。</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配合单位：省工业和信息化厅、省工商联）</w:t>
      </w:r>
    </w:p>
    <w:p w14:paraId="2AC900D4">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六、提升</w:t>
      </w:r>
      <w:r>
        <w:rPr>
          <w:rFonts w:hint="eastAsia" w:ascii="黑体" w:hAnsi="黑体" w:eastAsia="黑体" w:cs="黑体"/>
          <w:b w:val="0"/>
          <w:bCs w:val="0"/>
          <w:color w:val="auto"/>
          <w:sz w:val="32"/>
          <w:szCs w:val="32"/>
          <w:highlight w:val="none"/>
          <w:lang w:val="en-US" w:eastAsia="zh-CN"/>
        </w:rPr>
        <w:t>人力资源</w:t>
      </w:r>
      <w:r>
        <w:rPr>
          <w:rFonts w:hint="eastAsia" w:ascii="黑体" w:hAnsi="黑体" w:eastAsia="黑体" w:cs="黑体"/>
          <w:b w:val="0"/>
          <w:bCs w:val="0"/>
          <w:color w:val="auto"/>
          <w:sz w:val="32"/>
          <w:szCs w:val="32"/>
          <w:highlight w:val="none"/>
        </w:rPr>
        <w:t>国际服务能力</w:t>
      </w:r>
    </w:p>
    <w:p w14:paraId="46049D31">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五</w:t>
      </w:r>
      <w:r>
        <w:rPr>
          <w:rFonts w:hint="eastAsia" w:ascii="方正楷体_GB2312" w:hAnsi="方正楷体_GB2312" w:eastAsia="方正楷体_GB2312" w:cs="方正楷体_GB2312"/>
          <w:b w:val="0"/>
          <w:bCs w:val="0"/>
          <w:color w:val="auto"/>
          <w:sz w:val="32"/>
          <w:szCs w:val="32"/>
          <w:highlight w:val="none"/>
        </w:rPr>
        <w:t>）布局海外服务网络</w:t>
      </w:r>
      <w:r>
        <w:rPr>
          <w:rFonts w:hint="eastAsia" w:ascii="仿宋_GB2312" w:hAnsi="仿宋_GB2312" w:eastAsia="仿宋_GB2312" w:cs="仿宋_GB2312"/>
          <w:b w:val="0"/>
          <w:bCs w:val="0"/>
          <w:color w:val="auto"/>
          <w:sz w:val="32"/>
          <w:szCs w:val="32"/>
          <w:highlight w:val="none"/>
        </w:rPr>
        <w:t>。支持</w:t>
      </w:r>
      <w:r>
        <w:rPr>
          <w:rFonts w:hint="eastAsia" w:ascii="仿宋_GB2312" w:hAnsi="仿宋_GB2312" w:eastAsia="仿宋_GB2312" w:cs="仿宋_GB2312"/>
          <w:b w:val="0"/>
          <w:bCs w:val="0"/>
          <w:color w:val="auto"/>
          <w:sz w:val="32"/>
          <w:szCs w:val="32"/>
          <w:highlight w:val="none"/>
          <w:lang w:eastAsia="zh-CN"/>
        </w:rPr>
        <w:t>人力资源服务机构</w:t>
      </w:r>
      <w:r>
        <w:rPr>
          <w:rFonts w:hint="eastAsia" w:ascii="仿宋_GB2312" w:hAnsi="仿宋_GB2312" w:eastAsia="仿宋_GB2312" w:cs="仿宋_GB2312"/>
          <w:b w:val="0"/>
          <w:bCs w:val="0"/>
          <w:color w:val="auto"/>
          <w:sz w:val="32"/>
          <w:szCs w:val="32"/>
          <w:highlight w:val="none"/>
        </w:rPr>
        <w:t>在境外设立分支机构，联合青岛国家级人力资源服务出口基地推广“外输内引＋专精配置＋项目陪跑”创新服务模式，提升跨境人力资源配置能力。</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配合单位：省商务厅、省工商联）</w:t>
      </w:r>
    </w:p>
    <w:p w14:paraId="0014BC89">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六</w:t>
      </w:r>
      <w:r>
        <w:rPr>
          <w:rFonts w:hint="eastAsia" w:ascii="方正楷体_GB2312" w:hAnsi="方正楷体_GB2312" w:eastAsia="方正楷体_GB2312" w:cs="方正楷体_GB2312"/>
          <w:b w:val="0"/>
          <w:bCs w:val="0"/>
          <w:color w:val="auto"/>
          <w:sz w:val="32"/>
          <w:szCs w:val="32"/>
          <w:highlight w:val="none"/>
        </w:rPr>
        <w:t>）组建出海服务</w:t>
      </w:r>
      <w:r>
        <w:rPr>
          <w:rFonts w:hint="eastAsia" w:ascii="方正楷体_GB2312" w:hAnsi="方正楷体_GB2312" w:eastAsia="方正楷体_GB2312" w:cs="方正楷体_GB2312"/>
          <w:b w:val="0"/>
          <w:bCs w:val="0"/>
          <w:color w:val="auto"/>
          <w:sz w:val="32"/>
          <w:szCs w:val="32"/>
          <w:highlight w:val="none"/>
          <w:lang w:val="en-US" w:eastAsia="zh-CN"/>
        </w:rPr>
        <w:t>联合体</w:t>
      </w:r>
      <w:r>
        <w:rPr>
          <w:rFonts w:hint="eastAsia" w:ascii="仿宋_GB2312" w:hAnsi="仿宋_GB2312" w:eastAsia="仿宋_GB2312" w:cs="仿宋_GB2312"/>
          <w:b w:val="0"/>
          <w:bCs w:val="0"/>
          <w:color w:val="auto"/>
          <w:sz w:val="32"/>
          <w:szCs w:val="32"/>
          <w:highlight w:val="none"/>
        </w:rPr>
        <w:t>。充分发挥“山东省人力资源国际服务事项清单”作用，以“一带一路”共建国家</w:t>
      </w:r>
      <w:r>
        <w:rPr>
          <w:rFonts w:hint="eastAsia" w:ascii="仿宋_GB2312" w:hAnsi="仿宋_GB2312" w:eastAsia="仿宋_GB2312" w:cs="仿宋_GB2312"/>
          <w:b w:val="0"/>
          <w:bCs w:val="0"/>
          <w:color w:val="auto"/>
          <w:sz w:val="32"/>
          <w:szCs w:val="32"/>
          <w:highlight w:val="none"/>
          <w:lang w:val="en-US" w:eastAsia="zh-CN"/>
        </w:rPr>
        <w:t>为</w:t>
      </w:r>
      <w:r>
        <w:rPr>
          <w:rFonts w:hint="eastAsia" w:ascii="仿宋_GB2312" w:hAnsi="仿宋_GB2312" w:eastAsia="仿宋_GB2312" w:cs="仿宋_GB2312"/>
          <w:b w:val="0"/>
          <w:bCs w:val="0"/>
          <w:color w:val="auto"/>
          <w:sz w:val="32"/>
          <w:szCs w:val="32"/>
          <w:highlight w:val="none"/>
        </w:rPr>
        <w:t>重点</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面向日韩、东南亚以及欧盟等国家和地区，建设</w:t>
      </w:r>
      <w:r>
        <w:rPr>
          <w:rFonts w:hint="eastAsia" w:ascii="仿宋_GB2312" w:hAnsi="仿宋_GB2312" w:eastAsia="仿宋_GB2312" w:cs="仿宋_GB2312"/>
          <w:b w:val="0"/>
          <w:bCs w:val="0"/>
          <w:color w:val="auto"/>
          <w:sz w:val="32"/>
          <w:szCs w:val="32"/>
          <w:highlight w:val="none"/>
        </w:rPr>
        <w:t>出海服务联合体，</w:t>
      </w:r>
      <w:r>
        <w:rPr>
          <w:rFonts w:hint="eastAsia" w:ascii="仿宋_GB2312" w:hAnsi="仿宋_GB2312" w:eastAsia="仿宋_GB2312" w:cs="仿宋_GB2312"/>
          <w:b w:val="0"/>
          <w:bCs w:val="0"/>
          <w:color w:val="auto"/>
          <w:sz w:val="32"/>
          <w:szCs w:val="32"/>
          <w:highlight w:val="none"/>
          <w:lang w:val="en-US" w:eastAsia="zh-CN"/>
        </w:rPr>
        <w:t>提供</w:t>
      </w:r>
      <w:r>
        <w:rPr>
          <w:rFonts w:hint="eastAsia" w:ascii="仿宋_GB2312" w:hAnsi="仿宋_GB2312" w:eastAsia="仿宋_GB2312" w:cs="仿宋_GB2312"/>
          <w:b w:val="0"/>
          <w:bCs w:val="0"/>
          <w:color w:val="auto"/>
          <w:sz w:val="32"/>
          <w:szCs w:val="32"/>
          <w:highlight w:val="none"/>
        </w:rPr>
        <w:t>属地国全流程政策合规指引</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开展精益化用工管理、国际化技能人才储备库搭建</w:t>
      </w:r>
      <w:r>
        <w:rPr>
          <w:rFonts w:hint="eastAsia" w:ascii="仿宋_GB2312" w:hAnsi="仿宋_GB2312" w:eastAsia="仿宋_GB2312" w:cs="仿宋_GB2312"/>
          <w:b w:val="0"/>
          <w:bCs w:val="0"/>
          <w:color w:val="auto"/>
          <w:sz w:val="32"/>
          <w:szCs w:val="32"/>
          <w:highlight w:val="none"/>
        </w:rPr>
        <w:t>等一站式服务，推动国际经贸合作与人才流动协同发展。</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配合单位：省商务厅、省工商联）</w:t>
      </w:r>
    </w:p>
    <w:p w14:paraId="04054C1F">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七、优化人力资源市场环境</w:t>
      </w:r>
    </w:p>
    <w:p w14:paraId="55FD320A">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七</w:t>
      </w:r>
      <w:r>
        <w:rPr>
          <w:rFonts w:hint="eastAsia" w:ascii="方正楷体_GB2312" w:hAnsi="方正楷体_GB2312" w:eastAsia="方正楷体_GB2312" w:cs="方正楷体_GB2312"/>
          <w:b w:val="0"/>
          <w:bCs w:val="0"/>
          <w:color w:val="auto"/>
          <w:sz w:val="32"/>
          <w:szCs w:val="32"/>
          <w:highlight w:val="none"/>
        </w:rPr>
        <w:t>）健全市场监管体系</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明晰监管责任，创新监管方式，提高监管能力，建立属地分级监管、部门地方联动、社会各方共治、市场主体规范管理的科学高效监管体制，推动制造业企业依法用工、人力资源服务机构规范服务。加强灵活</w:t>
      </w:r>
      <w:r>
        <w:rPr>
          <w:rFonts w:hint="eastAsia" w:ascii="仿宋_GB2312" w:hAnsi="仿宋_GB2312" w:eastAsia="仿宋_GB2312" w:cs="仿宋_GB2312"/>
          <w:b w:val="0"/>
          <w:bCs w:val="0"/>
          <w:color w:val="auto"/>
          <w:sz w:val="32"/>
          <w:szCs w:val="32"/>
          <w:highlight w:val="none"/>
          <w:shd w:val="clear" w:color="auto" w:fill="FFFFFF"/>
        </w:rPr>
        <w:t>就业人员、农民工、新就业形态劳动者权益保障，依法纠治侵害劳动者就业权益的违法违规行为。</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p>
    <w:p w14:paraId="262AA24D">
      <w:pPr>
        <w:keepNext w:val="0"/>
        <w:keepLines w:val="0"/>
        <w:pageBreakBefore w:val="0"/>
        <w:widowControl w:val="0"/>
        <w:kinsoku/>
        <w:wordWrap/>
        <w:overflowPunct w:val="0"/>
        <w:topLinePunct w:val="0"/>
        <w:autoSpaceDE/>
        <w:autoSpaceDN/>
        <w:bidi w:val="0"/>
        <w:adjustRightInd/>
        <w:snapToGrid/>
        <w:spacing w:line="580" w:lineRule="exact"/>
        <w:ind w:left="0" w:leftChars="0" w:right="0" w:rightChars="0" w:firstLine="632" w:firstLineChars="200"/>
        <w:jc w:val="both"/>
        <w:textAlignment w:val="auto"/>
        <w:rPr>
          <w:rFonts w:hint="eastAsia" w:ascii="方正楷体_GB2312" w:hAnsi="方正楷体_GB2312" w:eastAsia="方正楷体_GB2312" w:cs="方正楷体_GB2312"/>
          <w:b w:val="0"/>
          <w:bCs w:val="0"/>
          <w:color w:val="auto"/>
          <w:sz w:val="32"/>
          <w:szCs w:val="32"/>
          <w:highlight w:val="none"/>
          <w:lang w:val="en-US" w:eastAsia="zh-CN"/>
        </w:rPr>
      </w:pPr>
      <w:r>
        <w:rPr>
          <w:rFonts w:hint="eastAsia" w:ascii="方正楷体_GB2312" w:hAnsi="方正楷体_GB2312" w:eastAsia="方正楷体_GB2312" w:cs="方正楷体_GB2312"/>
          <w:b w:val="0"/>
          <w:bCs w:val="0"/>
          <w:color w:val="auto"/>
          <w:sz w:val="32"/>
          <w:szCs w:val="32"/>
          <w:highlight w:val="none"/>
        </w:rPr>
        <w:t>（十</w:t>
      </w:r>
      <w:r>
        <w:rPr>
          <w:rFonts w:hint="eastAsia" w:ascii="方正楷体_GB2312" w:hAnsi="方正楷体_GB2312" w:eastAsia="方正楷体_GB2312" w:cs="方正楷体_GB2312"/>
          <w:b w:val="0"/>
          <w:bCs w:val="0"/>
          <w:color w:val="auto"/>
          <w:sz w:val="32"/>
          <w:szCs w:val="32"/>
          <w:highlight w:val="none"/>
          <w:lang w:val="en-US" w:eastAsia="zh-CN"/>
        </w:rPr>
        <w:t>八</w:t>
      </w:r>
      <w:r>
        <w:rPr>
          <w:rFonts w:hint="eastAsia" w:ascii="方正楷体_GB2312" w:hAnsi="方正楷体_GB2312" w:eastAsia="方正楷体_GB2312" w:cs="方正楷体_GB2312"/>
          <w:b w:val="0"/>
          <w:bCs w:val="0"/>
          <w:color w:val="auto"/>
          <w:sz w:val="32"/>
          <w:szCs w:val="32"/>
          <w:highlight w:val="none"/>
        </w:rPr>
        <w:t>）推广融合创新场景</w:t>
      </w:r>
      <w:r>
        <w:rPr>
          <w:rFonts w:hint="eastAsia" w:ascii="仿宋_GB2312" w:hAnsi="仿宋_GB2312" w:eastAsia="仿宋_GB2312" w:cs="仿宋_GB2312"/>
          <w:b w:val="0"/>
          <w:bCs w:val="0"/>
          <w:color w:val="auto"/>
          <w:sz w:val="32"/>
          <w:szCs w:val="32"/>
          <w:highlight w:val="none"/>
        </w:rPr>
        <w:t>。</w:t>
      </w:r>
      <w:r>
        <w:rPr>
          <w:rFonts w:ascii="仿宋_GB2312" w:hAnsi="仿宋_GB2312" w:eastAsia="仿宋_GB2312" w:cs="仿宋_GB2312"/>
          <w:b w:val="0"/>
          <w:bCs w:val="0"/>
          <w:color w:val="auto"/>
          <w:sz w:val="32"/>
          <w:szCs w:val="32"/>
          <w:highlight w:val="none"/>
        </w:rPr>
        <w:t>创建融合示范样本，</w:t>
      </w:r>
      <w:r>
        <w:rPr>
          <w:rFonts w:hint="eastAsia" w:ascii="仿宋_GB2312" w:hAnsi="仿宋_GB2312" w:eastAsia="仿宋_GB2312" w:cs="仿宋_GB2312"/>
          <w:b w:val="0"/>
          <w:bCs w:val="0"/>
          <w:color w:val="auto"/>
          <w:sz w:val="32"/>
          <w:szCs w:val="32"/>
          <w:highlight w:val="none"/>
        </w:rPr>
        <w:t>深入挖掘和宣传推广人力资源服务业</w:t>
      </w:r>
      <w:r>
        <w:rPr>
          <w:rFonts w:hint="eastAsia" w:ascii="仿宋_GB2312" w:hAnsi="仿宋_GB2312" w:eastAsia="仿宋_GB2312" w:cs="仿宋_GB2312"/>
          <w:b w:val="0"/>
          <w:bCs w:val="0"/>
          <w:color w:val="auto"/>
          <w:sz w:val="32"/>
          <w:szCs w:val="32"/>
          <w:highlight w:val="none"/>
          <w:lang w:val="en-US" w:eastAsia="zh-CN"/>
        </w:rPr>
        <w:t>助力制造业</w:t>
      </w:r>
      <w:r>
        <w:rPr>
          <w:rFonts w:hint="eastAsia" w:ascii="仿宋_GB2312" w:hAnsi="仿宋_GB2312" w:eastAsia="仿宋_GB2312" w:cs="仿宋_GB2312"/>
          <w:b w:val="0"/>
          <w:bCs w:val="0"/>
          <w:color w:val="auto"/>
          <w:sz w:val="32"/>
          <w:szCs w:val="32"/>
          <w:highlight w:val="none"/>
        </w:rPr>
        <w:t>高质量发展的应用场景、创新模式和品牌活动，适时遴选典型案例，总结推介融合亮点。发挥各级工商联、行业协会桥梁纽带作用，促进经验交流与供需对接，营造人力资源服务业与制造业深度融合、协同发展的良好氛围。</w:t>
      </w:r>
      <w:r>
        <w:rPr>
          <w:rFonts w:hint="eastAsia" w:ascii="方正楷体_GB2312" w:hAnsi="方正楷体_GB2312" w:eastAsia="方正楷体_GB2312" w:cs="方正楷体_GB2312"/>
          <w:b w:val="0"/>
          <w:bCs w:val="0"/>
          <w:color w:val="auto"/>
          <w:sz w:val="32"/>
          <w:szCs w:val="32"/>
          <w:highlight w:val="none"/>
          <w:lang w:val="en-US" w:eastAsia="zh-CN"/>
        </w:rPr>
        <w:t>（牵头单位：省人力资源社会保障厅</w:t>
      </w:r>
      <w:r>
        <w:rPr>
          <w:rFonts w:hint="eastAsia" w:ascii="方正楷体_GB2312" w:hAnsi="方正楷体_GB2312" w:eastAsia="方正楷体_GB2312" w:cs="方正楷体_GB2312"/>
          <w:b w:val="0"/>
          <w:bCs w:val="0"/>
          <w:color w:val="auto"/>
          <w:sz w:val="32"/>
          <w:szCs w:val="32"/>
          <w:highlight w:val="none"/>
          <w:lang w:eastAsia="zh-CN"/>
        </w:rPr>
        <w:t>；</w:t>
      </w:r>
      <w:r>
        <w:rPr>
          <w:rFonts w:hint="eastAsia" w:ascii="方正楷体_GB2312" w:hAnsi="方正楷体_GB2312" w:eastAsia="方正楷体_GB2312" w:cs="方正楷体_GB2312"/>
          <w:b w:val="0"/>
          <w:bCs w:val="0"/>
          <w:color w:val="auto"/>
          <w:sz w:val="32"/>
          <w:szCs w:val="32"/>
          <w:highlight w:val="none"/>
          <w:lang w:val="en-US" w:eastAsia="zh-CN"/>
        </w:rPr>
        <w:t>配合单位：省发展改革委、省工业和信息化厅、省商务厅、省工商联）</w:t>
      </w:r>
    </w:p>
    <w:p w14:paraId="4872F047">
      <w:pPr>
        <w:keepNext w:val="0"/>
        <w:keepLines w:val="0"/>
        <w:pageBreakBefore w:val="0"/>
        <w:widowControl w:val="0"/>
        <w:kinsoku/>
        <w:overflowPunct/>
        <w:topLinePunct w:val="0"/>
        <w:autoSpaceDE/>
        <w:autoSpaceDN/>
        <w:bidi w:val="0"/>
        <w:adjustRightInd/>
        <w:snapToGrid/>
        <w:spacing w:after="0" w:line="560" w:lineRule="exact"/>
        <w:ind w:firstLine="632" w:firstLineChars="200"/>
        <w:jc w:val="both"/>
        <w:textAlignment w:val="auto"/>
        <w:rPr>
          <w:rFonts w:hint="eastAsia" w:ascii="方正楷体_GB2312" w:hAnsi="方正楷体_GB2312" w:eastAsia="方正楷体_GB2312" w:cs="方正楷体_GB2312"/>
          <w:b w:val="0"/>
          <w:bCs w:val="0"/>
          <w:color w:val="auto"/>
          <w:sz w:val="32"/>
          <w:szCs w:val="32"/>
          <w:highlight w:val="none"/>
          <w:lang w:val="en-US" w:eastAsia="zh-CN"/>
        </w:rPr>
      </w:pPr>
    </w:p>
    <w:p w14:paraId="1C27AA44">
      <w:pPr>
        <w:keepNext w:val="0"/>
        <w:keepLines w:val="0"/>
        <w:pageBreakBefore w:val="0"/>
        <w:widowControl w:val="0"/>
        <w:kinsoku/>
        <w:overflowPunct/>
        <w:topLinePunct w:val="0"/>
        <w:autoSpaceDE/>
        <w:autoSpaceDN/>
        <w:bidi w:val="0"/>
        <w:adjustRightInd/>
        <w:snapToGrid/>
        <w:spacing w:after="0" w:line="560" w:lineRule="exact"/>
        <w:ind w:firstLine="632" w:firstLineChars="200"/>
        <w:jc w:val="both"/>
        <w:textAlignment w:val="auto"/>
        <w:rPr>
          <w:rFonts w:hint="eastAsia" w:ascii="方正楷体_GB2312" w:hAnsi="方正楷体_GB2312" w:eastAsia="方正楷体_GB2312" w:cs="方正楷体_GB2312"/>
          <w:b w:val="0"/>
          <w:bCs w:val="0"/>
          <w:color w:val="auto"/>
          <w:sz w:val="32"/>
          <w:szCs w:val="32"/>
          <w:highlight w:val="none"/>
          <w:lang w:val="en-US" w:eastAsia="zh-CN"/>
        </w:rPr>
      </w:pPr>
    </w:p>
    <w:tbl>
      <w:tblPr>
        <w:tblStyle w:val="10"/>
        <w:tblW w:w="9060" w:type="dxa"/>
        <w:jc w:val="center"/>
        <w:tblLayout w:type="fixed"/>
        <w:tblCellMar>
          <w:top w:w="0" w:type="dxa"/>
          <w:left w:w="108" w:type="dxa"/>
          <w:bottom w:w="0" w:type="dxa"/>
          <w:right w:w="108" w:type="dxa"/>
        </w:tblCellMar>
      </w:tblPr>
      <w:tblGrid>
        <w:gridCol w:w="3020"/>
        <w:gridCol w:w="3020"/>
        <w:gridCol w:w="3020"/>
      </w:tblGrid>
      <w:tr w14:paraId="267E6915">
        <w:tblPrEx>
          <w:tblCellMar>
            <w:top w:w="0" w:type="dxa"/>
            <w:left w:w="108" w:type="dxa"/>
            <w:bottom w:w="0" w:type="dxa"/>
            <w:right w:w="108" w:type="dxa"/>
          </w:tblCellMar>
        </w:tblPrEx>
        <w:trPr>
          <w:trHeight w:val="2268" w:hRule="exact"/>
          <w:jc w:val="center"/>
        </w:trPr>
        <w:tc>
          <w:tcPr>
            <w:tcW w:w="3020" w:type="dxa"/>
            <w:vAlign w:val="center"/>
          </w:tcPr>
          <w:p w14:paraId="6609DC54">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default"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rPr>
              <w:t>山东省人力资源和</w:t>
            </w:r>
          </w:p>
          <w:p w14:paraId="7DA7C78A">
            <w:pPr>
              <w:keepNext w:val="0"/>
              <w:keepLines w:val="0"/>
              <w:pageBreakBefore w:val="0"/>
              <w:widowControl w:val="0"/>
              <w:kinsoku/>
              <w:overflowPunct/>
              <w:topLinePunct w:val="0"/>
              <w:autoSpaceDE/>
              <w:autoSpaceDN/>
              <w:bidi w:val="0"/>
              <w:adjustRightInd/>
              <w:snapToGrid/>
              <w:spacing w:after="0" w:line="560" w:lineRule="exact"/>
              <w:ind w:firstLine="632" w:firstLineChars="200"/>
              <w:jc w:val="both"/>
              <w:textAlignment w:val="auto"/>
              <w:rPr>
                <w:rFonts w:hint="default" w:ascii="仿宋_GB2312" w:hAnsi="仿宋_GB2312" w:eastAsia="仿宋_GB2312" w:cs="仿宋_GB2312"/>
                <w:sz w:val="32"/>
                <w:szCs w:val="32"/>
                <w:highlight w:val="none"/>
              </w:rPr>
            </w:pPr>
            <w:r>
              <w:rPr>
                <w:rFonts w:hint="default" w:ascii="仿宋_GB2312" w:hAnsi="仿宋_GB2312" w:eastAsia="仿宋_GB2312" w:cs="仿宋_GB2312"/>
                <w:sz w:val="32"/>
                <w:szCs w:val="32"/>
                <w:highlight w:val="none"/>
              </w:rPr>
              <w:t>社会保障厅</w:t>
            </w:r>
          </w:p>
        </w:tc>
        <w:tc>
          <w:tcPr>
            <w:tcW w:w="3020" w:type="dxa"/>
            <w:vAlign w:val="center"/>
          </w:tcPr>
          <w:p w14:paraId="3E575760">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rPr>
              <w:t>山东省</w:t>
            </w:r>
            <w:r>
              <w:rPr>
                <w:rFonts w:hint="eastAsia" w:ascii="仿宋_GB2312" w:hAnsi="仿宋_GB2312" w:eastAsia="仿宋_GB2312" w:cs="仿宋_GB2312"/>
                <w:sz w:val="32"/>
                <w:szCs w:val="32"/>
                <w:highlight w:val="none"/>
                <w:lang w:val="en-US" w:eastAsia="zh-CN"/>
              </w:rPr>
              <w:t>发展和</w:t>
            </w:r>
          </w:p>
          <w:p w14:paraId="28775403">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改革委员会</w:t>
            </w:r>
          </w:p>
        </w:tc>
        <w:tc>
          <w:tcPr>
            <w:tcW w:w="3020" w:type="dxa"/>
            <w:vAlign w:val="center"/>
          </w:tcPr>
          <w:p w14:paraId="5B28CE6A">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rPr>
              <w:t>山东省</w:t>
            </w:r>
            <w:r>
              <w:rPr>
                <w:rFonts w:hint="eastAsia" w:ascii="仿宋_GB2312" w:hAnsi="仿宋_GB2312" w:eastAsia="仿宋_GB2312" w:cs="仿宋_GB2312"/>
                <w:sz w:val="32"/>
                <w:szCs w:val="32"/>
                <w:highlight w:val="none"/>
                <w:lang w:val="en-US" w:eastAsia="zh-CN"/>
              </w:rPr>
              <w:t>工业和</w:t>
            </w:r>
          </w:p>
          <w:p w14:paraId="60D8202D">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信息化厅</w:t>
            </w:r>
          </w:p>
        </w:tc>
      </w:tr>
    </w:tbl>
    <w:p w14:paraId="3A728FD1">
      <w:pPr>
        <w:keepNext w:val="0"/>
        <w:keepLines w:val="0"/>
        <w:pageBreakBefore w:val="0"/>
        <w:widowControl w:val="0"/>
        <w:kinsoku/>
        <w:overflowPunct/>
        <w:topLinePunct w:val="0"/>
        <w:autoSpaceDE/>
        <w:autoSpaceDN/>
        <w:bidi w:val="0"/>
        <w:adjustRightInd/>
        <w:snapToGrid/>
        <w:spacing w:after="0" w:line="560" w:lineRule="exact"/>
        <w:ind w:firstLine="632" w:firstLineChars="200"/>
        <w:jc w:val="center"/>
        <w:textAlignment w:val="auto"/>
        <w:rPr>
          <w:rFonts w:hint="default" w:ascii="仿宋_GB2312" w:hAnsi="仿宋_GB2312" w:eastAsia="仿宋_GB2312" w:cs="仿宋_GB2312"/>
          <w:sz w:val="32"/>
          <w:szCs w:val="32"/>
          <w:highlight w:val="none"/>
        </w:rPr>
      </w:pPr>
    </w:p>
    <w:p w14:paraId="1CF5FC5B">
      <w:pPr>
        <w:keepNext w:val="0"/>
        <w:keepLines w:val="0"/>
        <w:pageBreakBefore w:val="0"/>
        <w:widowControl w:val="0"/>
        <w:kinsoku/>
        <w:overflowPunct/>
        <w:topLinePunct w:val="0"/>
        <w:autoSpaceDE/>
        <w:autoSpaceDN/>
        <w:bidi w:val="0"/>
        <w:adjustRightInd/>
        <w:snapToGrid/>
        <w:spacing w:after="0" w:line="560" w:lineRule="exact"/>
        <w:ind w:firstLine="632" w:firstLineChars="200"/>
        <w:jc w:val="center"/>
        <w:textAlignment w:val="auto"/>
        <w:rPr>
          <w:rFonts w:hint="default" w:ascii="仿宋_GB2312" w:hAnsi="仿宋_GB2312" w:eastAsia="仿宋_GB2312" w:cs="仿宋_GB2312"/>
          <w:sz w:val="32"/>
          <w:szCs w:val="32"/>
          <w:highlight w:val="none"/>
        </w:rPr>
      </w:pPr>
    </w:p>
    <w:tbl>
      <w:tblPr>
        <w:tblStyle w:val="10"/>
        <w:tblW w:w="9060" w:type="dxa"/>
        <w:jc w:val="center"/>
        <w:tblLayout w:type="fixed"/>
        <w:tblCellMar>
          <w:top w:w="0" w:type="dxa"/>
          <w:left w:w="108" w:type="dxa"/>
          <w:bottom w:w="0" w:type="dxa"/>
          <w:right w:w="108" w:type="dxa"/>
        </w:tblCellMar>
      </w:tblPr>
      <w:tblGrid>
        <w:gridCol w:w="4530"/>
        <w:gridCol w:w="4530"/>
      </w:tblGrid>
      <w:tr w14:paraId="302379CB">
        <w:tblPrEx>
          <w:tblCellMar>
            <w:top w:w="0" w:type="dxa"/>
            <w:left w:w="108" w:type="dxa"/>
            <w:bottom w:w="0" w:type="dxa"/>
            <w:right w:w="108" w:type="dxa"/>
          </w:tblCellMar>
        </w:tblPrEx>
        <w:trPr>
          <w:trHeight w:val="661" w:hRule="exact"/>
          <w:jc w:val="center"/>
        </w:trPr>
        <w:tc>
          <w:tcPr>
            <w:tcW w:w="4530" w:type="dxa"/>
            <w:vAlign w:val="center"/>
          </w:tcPr>
          <w:p w14:paraId="649C7A37">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sz w:val="32"/>
                <w:szCs w:val="32"/>
                <w:highlight w:val="none"/>
              </w:rPr>
              <w:t>山东省</w:t>
            </w:r>
            <w:r>
              <w:rPr>
                <w:rFonts w:hint="eastAsia" w:ascii="仿宋_GB2312" w:hAnsi="仿宋_GB2312" w:eastAsia="仿宋_GB2312" w:cs="仿宋_GB2312"/>
                <w:sz w:val="32"/>
                <w:szCs w:val="32"/>
                <w:highlight w:val="none"/>
                <w:lang w:val="en-US" w:eastAsia="zh-CN"/>
              </w:rPr>
              <w:t>商务厅</w:t>
            </w:r>
          </w:p>
        </w:tc>
        <w:tc>
          <w:tcPr>
            <w:tcW w:w="4530" w:type="dxa"/>
            <w:vAlign w:val="center"/>
          </w:tcPr>
          <w:p w14:paraId="3C523C33">
            <w:pPr>
              <w:keepNext w:val="0"/>
              <w:keepLines w:val="0"/>
              <w:pageBreakBefore w:val="0"/>
              <w:widowControl w:val="0"/>
              <w:kinsoku/>
              <w:overflowPunct/>
              <w:topLinePunct w:val="0"/>
              <w:autoSpaceDE/>
              <w:autoSpaceDN/>
              <w:bidi w:val="0"/>
              <w:adjustRightInd/>
              <w:snapToGrid/>
              <w:spacing w:after="0" w:line="560" w:lineRule="exact"/>
              <w:jc w:val="center"/>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rPr>
              <w:t>山东省</w:t>
            </w:r>
            <w:r>
              <w:rPr>
                <w:rFonts w:hint="eastAsia" w:ascii="仿宋_GB2312" w:hAnsi="仿宋_GB2312" w:eastAsia="仿宋_GB2312" w:cs="仿宋_GB2312"/>
                <w:sz w:val="32"/>
                <w:szCs w:val="32"/>
                <w:highlight w:val="none"/>
                <w:lang w:val="en-US" w:eastAsia="zh-CN"/>
              </w:rPr>
              <w:t>工商业联合会</w:t>
            </w:r>
          </w:p>
        </w:tc>
      </w:tr>
    </w:tbl>
    <w:p w14:paraId="02AFA894">
      <w:pPr>
        <w:keepNext w:val="0"/>
        <w:keepLines w:val="0"/>
        <w:pageBreakBefore w:val="0"/>
        <w:widowControl w:val="0"/>
        <w:kinsoku/>
        <w:overflowPunct/>
        <w:topLinePunct w:val="0"/>
        <w:autoSpaceDE/>
        <w:autoSpaceDN/>
        <w:bidi w:val="0"/>
        <w:adjustRightInd/>
        <w:snapToGrid/>
        <w:spacing w:after="0" w:line="560" w:lineRule="exact"/>
        <w:ind w:firstLine="632"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2025年</w:t>
      </w:r>
      <w:r>
        <w:rPr>
          <w:rFonts w:hint="eastAsia" w:ascii="仿宋_GB2312" w:hAnsi="仿宋_GB2312" w:eastAsia="仿宋_GB2312" w:cs="仿宋_GB2312"/>
          <w:sz w:val="32"/>
          <w:szCs w:val="32"/>
          <w:highlight w:val="none"/>
          <w:lang w:eastAsia="zh"/>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
        </w:rPr>
        <w:t>5</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 xml:space="preserve">        </w:t>
      </w:r>
    </w:p>
    <w:p w14:paraId="06901CBB">
      <w:pPr>
        <w:keepNext w:val="0"/>
        <w:keepLines w:val="0"/>
        <w:pageBreakBefore w:val="0"/>
        <w:widowControl w:val="0"/>
        <w:kinsoku/>
        <w:wordWrap w:val="0"/>
        <w:overflowPunct/>
        <w:topLinePunct w:val="0"/>
        <w:autoSpaceDE/>
        <w:autoSpaceDN/>
        <w:bidi w:val="0"/>
        <w:adjustRightInd/>
        <w:snapToGrid/>
        <w:spacing w:after="0" w:line="560" w:lineRule="exact"/>
        <w:ind w:firstLine="632" w:firstLineChars="200"/>
        <w:jc w:val="right"/>
        <w:textAlignment w:val="auto"/>
        <w:rPr>
          <w:rFonts w:hint="eastAsia" w:ascii="仿宋_GB2312" w:hAnsi="仿宋_GB2312" w:eastAsia="仿宋_GB2312" w:cs="仿宋_GB2312"/>
          <w:sz w:val="32"/>
          <w:szCs w:val="32"/>
          <w:highlight w:val="none"/>
        </w:rPr>
      </w:pPr>
    </w:p>
    <w:p w14:paraId="09C82CC5">
      <w:pPr>
        <w:keepNext w:val="0"/>
        <w:keepLines w:val="0"/>
        <w:pageBreakBefore w:val="0"/>
        <w:widowControl w:val="0"/>
        <w:kinsoku/>
        <w:overflowPunct/>
        <w:topLinePunct w:val="0"/>
        <w:autoSpaceDE/>
        <w:autoSpaceDN/>
        <w:bidi w:val="0"/>
        <w:adjustRightInd/>
        <w:snapToGrid/>
        <w:spacing w:after="0" w:line="560" w:lineRule="exact"/>
        <w:ind w:firstLine="632"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此件主动公开</w:t>
      </w:r>
      <w:r>
        <w:rPr>
          <w:rFonts w:hint="eastAsia" w:ascii="仿宋_GB2312" w:hAnsi="仿宋_GB2312" w:eastAsia="仿宋_GB2312" w:cs="仿宋_GB2312"/>
          <w:sz w:val="32"/>
          <w:szCs w:val="32"/>
          <w:highlight w:val="none"/>
          <w:lang w:eastAsia="zh-CN"/>
        </w:rPr>
        <w:t>）</w:t>
      </w:r>
    </w:p>
    <w:p w14:paraId="7D0E28EF">
      <w:pPr>
        <w:keepNext w:val="0"/>
        <w:keepLines w:val="0"/>
        <w:pageBreakBefore w:val="0"/>
        <w:widowControl w:val="0"/>
        <w:kinsoku/>
        <w:overflowPunct/>
        <w:topLinePunct w:val="0"/>
        <w:autoSpaceDE/>
        <w:autoSpaceDN/>
        <w:bidi w:val="0"/>
        <w:adjustRightInd/>
        <w:snapToGrid/>
        <w:spacing w:after="0" w:line="560" w:lineRule="exact"/>
        <w:ind w:firstLine="632"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联系单位：山东省人力资源和社会保障厅流动管理处</w:t>
      </w:r>
      <w:r>
        <w:rPr>
          <w:rFonts w:hint="eastAsia" w:ascii="仿宋_GB2312" w:hAnsi="仿宋_GB2312" w:eastAsia="仿宋_GB2312" w:cs="仿宋_GB2312"/>
          <w:sz w:val="32"/>
          <w:szCs w:val="32"/>
          <w:highlight w:val="none"/>
          <w:lang w:eastAsia="zh-CN"/>
        </w:rPr>
        <w:t>）</w:t>
      </w:r>
    </w:p>
    <w:p w14:paraId="5B0D5114">
      <w:pPr>
        <w:keepNext w:val="0"/>
        <w:keepLines w:val="0"/>
        <w:pageBreakBefore w:val="0"/>
        <w:widowControl w:val="0"/>
        <w:kinsoku/>
        <w:overflowPunct/>
        <w:topLinePunct w:val="0"/>
        <w:autoSpaceDE/>
        <w:autoSpaceDN/>
        <w:bidi w:val="0"/>
        <w:adjustRightInd/>
        <w:snapToGrid/>
        <w:spacing w:after="0" w:line="560" w:lineRule="exact"/>
        <w:jc w:val="both"/>
        <w:textAlignment w:val="auto"/>
        <w:rPr>
          <w:rFonts w:hint="eastAsia" w:ascii="方正楷体_GB2312" w:hAnsi="方正楷体_GB2312" w:eastAsia="方正楷体_GB2312" w:cs="方正楷体_GB2312"/>
          <w:b w:val="0"/>
          <w:bCs w:val="0"/>
          <w:color w:val="auto"/>
          <w:sz w:val="32"/>
          <w:szCs w:val="32"/>
          <w:highlight w:val="none"/>
          <w:lang w:val="en-US" w:eastAsia="zh-CN"/>
        </w:rPr>
      </w:pPr>
    </w:p>
    <w:p w14:paraId="1F42213B">
      <w:pPr>
        <w:pStyle w:val="2"/>
        <w:rPr>
          <w:rFonts w:hint="eastAsia" w:ascii="方正楷体_GB2312" w:hAnsi="方正楷体_GB2312" w:eastAsia="方正楷体_GB2312" w:cs="方正楷体_GB2312"/>
          <w:b w:val="0"/>
          <w:bCs w:val="0"/>
          <w:color w:val="auto"/>
          <w:sz w:val="32"/>
          <w:szCs w:val="32"/>
          <w:highlight w:val="none"/>
          <w:lang w:val="en-US" w:eastAsia="zh-CN"/>
        </w:rPr>
      </w:pPr>
    </w:p>
    <w:p w14:paraId="6E7B2594">
      <w:pPr>
        <w:rPr>
          <w:rFonts w:hint="eastAsia" w:ascii="方正楷体_GB2312" w:hAnsi="方正楷体_GB2312" w:eastAsia="方正楷体_GB2312" w:cs="方正楷体_GB2312"/>
          <w:b w:val="0"/>
          <w:bCs w:val="0"/>
          <w:color w:val="auto"/>
          <w:sz w:val="32"/>
          <w:szCs w:val="32"/>
          <w:highlight w:val="none"/>
          <w:lang w:val="en-US" w:eastAsia="zh-CN"/>
        </w:rPr>
      </w:pPr>
    </w:p>
    <w:p w14:paraId="400C1BA7">
      <w:pPr>
        <w:pStyle w:val="2"/>
        <w:rPr>
          <w:rFonts w:hint="eastAsia" w:ascii="方正楷体_GB2312" w:hAnsi="方正楷体_GB2312" w:eastAsia="方正楷体_GB2312" w:cs="方正楷体_GB2312"/>
          <w:b w:val="0"/>
          <w:bCs w:val="0"/>
          <w:color w:val="auto"/>
          <w:sz w:val="32"/>
          <w:szCs w:val="32"/>
          <w:highlight w:val="none"/>
          <w:lang w:val="en-US" w:eastAsia="zh-CN"/>
        </w:rPr>
      </w:pPr>
    </w:p>
    <w:p w14:paraId="445DFEBF">
      <w:pPr>
        <w:rPr>
          <w:rFonts w:hint="eastAsia"/>
          <w:color w:val="auto"/>
        </w:rPr>
      </w:pPr>
    </w:p>
    <w:p w14:paraId="08AA1DFE">
      <w:pPr>
        <w:keepNext w:val="0"/>
        <w:keepLines w:val="0"/>
        <w:pageBreakBefore w:val="0"/>
        <w:widowControl/>
        <w:kinsoku/>
        <w:wordWrap/>
        <w:overflowPunct/>
        <w:topLinePunct w:val="0"/>
        <w:autoSpaceDE/>
        <w:autoSpaceDN/>
        <w:bidi w:val="0"/>
        <w:adjustRightInd/>
        <w:snapToGrid/>
        <w:spacing w:line="240" w:lineRule="auto"/>
        <w:ind w:left="316" w:leftChars="100" w:right="316" w:rightChars="100" w:firstLine="0" w:firstLineChars="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5080</wp:posOffset>
                </wp:positionV>
                <wp:extent cx="5615940" cy="0"/>
                <wp:effectExtent l="0" t="0" r="0" b="0"/>
                <wp:wrapNone/>
                <wp:docPr id="6"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直接连接符 3" o:spid="_x0000_s1026" o:spt="20" style="position:absolute;left:0pt;margin-left:0pt;margin-top:0.4pt;height:0pt;width:442.2pt;z-index:251660288;mso-width-relative:page;mso-height-relative:page;" filled="f" stroked="t" coordsize="21600,21600" o:gfxdata="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o6AztIAAAACAQAADwAAAAAAAAABACAAAAAiAAAAZHJzL2Rvd25yZXYueG1sUEsB&#10;AhQAFAAAAAgAh07iQDCQYbn7AQAA8wMAAA4AAAAAAAAAAQAgAAAAIQEAAGRycy9lMm9Eb2MueG1s&#10;UEsFBgAAAAAGAAYAWQEAAI4FAAAAAA==&#10;">
                <v:fill on="f" focussize="0,0"/>
                <v:stroke weight="1.25pt" color="#000000" joinstyle="round"/>
                <v:imagedata o:title=""/>
                <o:lock v:ext="edit" aspectratio="f"/>
              </v:line>
            </w:pict>
          </mc:Fallback>
        </mc:AlternateContent>
      </w:r>
      <w:r>
        <w:rPr>
          <w:rFonts w:hint="eastAsia" w:ascii="仿宋_GB2312" w:hAnsi="仿宋_GB2312" w:eastAsia="仿宋_GB2312" w:cs="仿宋_GB2312"/>
          <w:color w:val="auto"/>
          <w:sz w:val="28"/>
          <w:szCs w:val="28"/>
        </w:rPr>
        <w:t>山东省人力资源和社会保障厅办公室</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lang w:val="en-US" w:eastAsia="zh-CN"/>
        </w:rPr>
        <w:t>2025年9月5</w:t>
      </w:r>
      <w:r>
        <w:rPr>
          <w:rFonts w:hint="eastAsia" w:ascii="仿宋_GB2312" w:hAnsi="仿宋_GB2312" w:eastAsia="仿宋_GB2312" w:cs="仿宋_GB2312"/>
          <w:color w:val="auto"/>
          <w:sz w:val="28"/>
          <w:szCs w:val="28"/>
        </w:rPr>
        <w:t>日印发</w:t>
      </w:r>
    </w:p>
    <w:p w14:paraId="4CABD338">
      <w:pPr>
        <w:keepNext w:val="0"/>
        <w:keepLines w:val="0"/>
        <w:pageBreakBefore w:val="0"/>
        <w:widowControl/>
        <w:kinsoku/>
        <w:wordWrap/>
        <w:overflowPunct/>
        <w:topLinePunct w:val="0"/>
        <w:autoSpaceDE/>
        <w:autoSpaceDN/>
        <w:bidi w:val="0"/>
        <w:adjustRightInd/>
        <w:snapToGrid/>
        <w:spacing w:line="240" w:lineRule="auto"/>
        <w:ind w:left="316" w:leftChars="100" w:right="316" w:rightChars="100" w:firstLine="0" w:firstLineChars="0"/>
        <w:textAlignment w:val="auto"/>
        <w:rPr>
          <w:rFonts w:hint="eastAsia"/>
          <w:lang w:val="en-US" w:eastAsia="zh-CN"/>
        </w:rPr>
      </w:pP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364490</wp:posOffset>
                </wp:positionV>
                <wp:extent cx="5615940" cy="0"/>
                <wp:effectExtent l="0" t="0" r="0" b="0"/>
                <wp:wrapNone/>
                <wp:docPr id="4" name="直接连接符 2"/>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直接连接符 2" o:spid="_x0000_s1026" o:spt="20" style="position:absolute;left:0pt;margin-left:0pt;margin-top:28.7pt;height:0pt;width:442.2pt;z-index:251661312;mso-width-relative:page;mso-height-relative:page;" filled="f" stroked="t" coordsize="21600,21600" o:gfxdata="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3PNPmdUAAAAGAQAADwAAAAAAAAABACAAAAAiAAAAZHJzL2Rvd25yZXYueG1s&#10;UEsBAhQAFAAAAAgAh07iQDeqsFr7AQAA8wMAAA4AAAAAAAAAAQAgAAAAJAEAAGRycy9lMm9Eb2Mu&#10;eG1sUEsFBgAAAAAGAAYAWQEAAJEFAAAAAA==&#10;">
                <v:fill on="f" focussize="0,0"/>
                <v:stroke weight="1.25pt" color="#000000" joinstyle="round"/>
                <v:imagedata o:title=""/>
                <o:lock v:ext="edit" aspectratio="f"/>
              </v:line>
            </w:pict>
          </mc:Fallback>
        </mc:AlternateContent>
      </w:r>
      <w:r>
        <w:rPr>
          <w:rFonts w:hint="eastAsia" w:ascii="仿宋_GB2312" w:hAnsi="仿宋_GB2312" w:eastAsia="仿宋_GB2312" w:cs="仿宋_GB2312"/>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5615940" cy="0"/>
                <wp:effectExtent l="0" t="0" r="0" b="0"/>
                <wp:wrapNone/>
                <wp:docPr id="5"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直接连接符 1" o:spid="_x0000_s1026" o:spt="20" style="position:absolute;left:0pt;margin-left:0pt;margin-top:0.2pt;height:0pt;width:442.2pt;z-index:251659264;mso-width-relative:page;mso-height-relative:page;" filled="f" stroked="t" coordsize="21600,21600" o:gfxdata="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7u9eo0AAAAAIBAAAPAAAAAAAAAAEAIAAAACIAAABkcnMvZG93bnJldi54bWxQSwECFAAU&#10;AAAACACHTuJAaehjkvkBAADyAwAADgAAAAAAAAABACAAAAAfAQAAZHJzL2Uyb0RvYy54bWxQSwUG&#10;AAAAAAYABgBZAQAAigUAAAAA&#10;">
                <v:fill on="f" focussize="0,0"/>
                <v:stroke weight="0.5pt" color="#000000" joinstyle="round"/>
                <v:imagedata o:title=""/>
                <o:lock v:ext="edit" aspectratio="f"/>
              </v:line>
            </w:pict>
          </mc:Fallback>
        </mc:AlternateContent>
      </w:r>
      <w:r>
        <w:rPr>
          <w:rFonts w:hint="eastAsia" w:ascii="仿宋_GB2312" w:hAnsi="仿宋_GB2312" w:eastAsia="仿宋_GB2312" w:cs="仿宋_GB2312"/>
          <w:color w:val="auto"/>
          <w:sz w:val="28"/>
          <w:szCs w:val="28"/>
        </w:rPr>
        <w:t>校核人：</w:t>
      </w:r>
      <w:r>
        <w:rPr>
          <w:rFonts w:hint="eastAsia" w:ascii="仿宋_GB2312" w:hAnsi="仿宋_GB2312" w:eastAsia="仿宋_GB2312" w:cs="仿宋_GB2312"/>
          <w:color w:val="auto"/>
          <w:sz w:val="28"/>
          <w:szCs w:val="28"/>
          <w:lang w:eastAsia="zh-CN"/>
        </w:rPr>
        <w:t>程臻</w:t>
      </w:r>
    </w:p>
    <w:sectPr>
      <w:footerReference r:id="rId4" w:type="first"/>
      <w:footerReference r:id="rId3" w:type="default"/>
      <w:pgSz w:w="11906" w:h="16838"/>
      <w:pgMar w:top="2098" w:right="1531" w:bottom="1814" w:left="1531" w:header="851" w:footer="1587" w:gutter="0"/>
      <w:pgNumType w:fmt="decimal"/>
      <w:cols w:space="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A4413">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20FEF">
    <w:pPr>
      <w:pStyle w:val="7"/>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58"/>
  <w:drawingGridVerticalSpacing w:val="29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xMjY2MGFmMWEzNmVmNTk2M2JkMjZjMTcyNzEyYzEifQ=="/>
  </w:docVars>
  <w:rsids>
    <w:rsidRoot w:val="009B0E3F"/>
    <w:rsid w:val="0000243B"/>
    <w:rsid w:val="002D7AE7"/>
    <w:rsid w:val="00324721"/>
    <w:rsid w:val="00326C6B"/>
    <w:rsid w:val="005075F7"/>
    <w:rsid w:val="006A71C9"/>
    <w:rsid w:val="00816BB5"/>
    <w:rsid w:val="00962A7F"/>
    <w:rsid w:val="009B0E3F"/>
    <w:rsid w:val="00A70455"/>
    <w:rsid w:val="00B97C94"/>
    <w:rsid w:val="00DF4811"/>
    <w:rsid w:val="01C60DC7"/>
    <w:rsid w:val="020B5EE9"/>
    <w:rsid w:val="027709B4"/>
    <w:rsid w:val="03655D1E"/>
    <w:rsid w:val="04E3528B"/>
    <w:rsid w:val="05A0428A"/>
    <w:rsid w:val="067A1AC0"/>
    <w:rsid w:val="075B5FB6"/>
    <w:rsid w:val="07D755CF"/>
    <w:rsid w:val="07EC09A0"/>
    <w:rsid w:val="083152B0"/>
    <w:rsid w:val="090A0B68"/>
    <w:rsid w:val="09363C55"/>
    <w:rsid w:val="096C17CA"/>
    <w:rsid w:val="09F2727D"/>
    <w:rsid w:val="0C937688"/>
    <w:rsid w:val="0D1B15DA"/>
    <w:rsid w:val="0DC81995"/>
    <w:rsid w:val="0F1507FE"/>
    <w:rsid w:val="0F6E3816"/>
    <w:rsid w:val="0F8D737E"/>
    <w:rsid w:val="0FC13E60"/>
    <w:rsid w:val="10BC3F3D"/>
    <w:rsid w:val="1107166B"/>
    <w:rsid w:val="110A3CD1"/>
    <w:rsid w:val="11591C9B"/>
    <w:rsid w:val="115D563E"/>
    <w:rsid w:val="12066EE0"/>
    <w:rsid w:val="13100882"/>
    <w:rsid w:val="13A60EF7"/>
    <w:rsid w:val="13EF4742"/>
    <w:rsid w:val="151E1EBD"/>
    <w:rsid w:val="170E6F59"/>
    <w:rsid w:val="17965A48"/>
    <w:rsid w:val="19720804"/>
    <w:rsid w:val="197C2806"/>
    <w:rsid w:val="19B960E0"/>
    <w:rsid w:val="1A6D374E"/>
    <w:rsid w:val="1AA96F06"/>
    <w:rsid w:val="1AAD63BF"/>
    <w:rsid w:val="1B767A4F"/>
    <w:rsid w:val="1C564FAB"/>
    <w:rsid w:val="1C745528"/>
    <w:rsid w:val="1C806812"/>
    <w:rsid w:val="1CAB745A"/>
    <w:rsid w:val="1D536761"/>
    <w:rsid w:val="1DCB212E"/>
    <w:rsid w:val="1DD645BA"/>
    <w:rsid w:val="1DE901D1"/>
    <w:rsid w:val="1DF078D1"/>
    <w:rsid w:val="1E01249E"/>
    <w:rsid w:val="1E456341"/>
    <w:rsid w:val="1ED759B0"/>
    <w:rsid w:val="200B2EEE"/>
    <w:rsid w:val="202919A1"/>
    <w:rsid w:val="21CB1013"/>
    <w:rsid w:val="220D09DC"/>
    <w:rsid w:val="22926932"/>
    <w:rsid w:val="233F1641"/>
    <w:rsid w:val="23E02F19"/>
    <w:rsid w:val="23EE1DB1"/>
    <w:rsid w:val="24305A06"/>
    <w:rsid w:val="245D30C3"/>
    <w:rsid w:val="24695CD0"/>
    <w:rsid w:val="24A84CE0"/>
    <w:rsid w:val="250131CB"/>
    <w:rsid w:val="263F0183"/>
    <w:rsid w:val="27C47ACD"/>
    <w:rsid w:val="28643B96"/>
    <w:rsid w:val="28D377AD"/>
    <w:rsid w:val="2A943B12"/>
    <w:rsid w:val="2AC5770D"/>
    <w:rsid w:val="2B2629A8"/>
    <w:rsid w:val="2C004054"/>
    <w:rsid w:val="2C1E43D3"/>
    <w:rsid w:val="2C891BD1"/>
    <w:rsid w:val="2D37C508"/>
    <w:rsid w:val="2D843D33"/>
    <w:rsid w:val="2D9A0869"/>
    <w:rsid w:val="2DFF4E29"/>
    <w:rsid w:val="2E3B5F2A"/>
    <w:rsid w:val="2EAE35F9"/>
    <w:rsid w:val="2ED718A0"/>
    <w:rsid w:val="2F216A8C"/>
    <w:rsid w:val="308A2175"/>
    <w:rsid w:val="309E1976"/>
    <w:rsid w:val="30AB5312"/>
    <w:rsid w:val="30BC007E"/>
    <w:rsid w:val="314936B4"/>
    <w:rsid w:val="315D3508"/>
    <w:rsid w:val="31D71ED6"/>
    <w:rsid w:val="32022EC6"/>
    <w:rsid w:val="321F3401"/>
    <w:rsid w:val="32CB342C"/>
    <w:rsid w:val="32E93F21"/>
    <w:rsid w:val="330F1208"/>
    <w:rsid w:val="334D3F7B"/>
    <w:rsid w:val="33FA309A"/>
    <w:rsid w:val="34401C1E"/>
    <w:rsid w:val="350148A3"/>
    <w:rsid w:val="35BB1F8F"/>
    <w:rsid w:val="36AB6EDC"/>
    <w:rsid w:val="372E42E7"/>
    <w:rsid w:val="379D0D00"/>
    <w:rsid w:val="37CD2901"/>
    <w:rsid w:val="37FE614E"/>
    <w:rsid w:val="380840B2"/>
    <w:rsid w:val="387C42D2"/>
    <w:rsid w:val="38D54881"/>
    <w:rsid w:val="39585C8C"/>
    <w:rsid w:val="39980710"/>
    <w:rsid w:val="3A4F3B99"/>
    <w:rsid w:val="3A7E1864"/>
    <w:rsid w:val="3A99038B"/>
    <w:rsid w:val="3AA53C1A"/>
    <w:rsid w:val="3ABD0611"/>
    <w:rsid w:val="3C1A00BD"/>
    <w:rsid w:val="3CB00BC8"/>
    <w:rsid w:val="3D14014A"/>
    <w:rsid w:val="3D2F4665"/>
    <w:rsid w:val="3D401822"/>
    <w:rsid w:val="3E1264C5"/>
    <w:rsid w:val="3E3CE62C"/>
    <w:rsid w:val="3EAB0813"/>
    <w:rsid w:val="3EFE754B"/>
    <w:rsid w:val="3FA101A6"/>
    <w:rsid w:val="3FBF2309"/>
    <w:rsid w:val="3FD719A2"/>
    <w:rsid w:val="3FD80883"/>
    <w:rsid w:val="3FF375C8"/>
    <w:rsid w:val="3FFF74DC"/>
    <w:rsid w:val="3FFF8CBB"/>
    <w:rsid w:val="3FFFF66B"/>
    <w:rsid w:val="400F6A26"/>
    <w:rsid w:val="403153C0"/>
    <w:rsid w:val="40882914"/>
    <w:rsid w:val="40BF54ED"/>
    <w:rsid w:val="42AF49E8"/>
    <w:rsid w:val="42C1622A"/>
    <w:rsid w:val="434A4ABC"/>
    <w:rsid w:val="435215F5"/>
    <w:rsid w:val="43625A6E"/>
    <w:rsid w:val="43DF2EA1"/>
    <w:rsid w:val="44A12BC6"/>
    <w:rsid w:val="468D267A"/>
    <w:rsid w:val="47EF44F8"/>
    <w:rsid w:val="48C5616F"/>
    <w:rsid w:val="4A210A52"/>
    <w:rsid w:val="4B740397"/>
    <w:rsid w:val="4BBC626F"/>
    <w:rsid w:val="4BE45888"/>
    <w:rsid w:val="4E536B26"/>
    <w:rsid w:val="50164E4C"/>
    <w:rsid w:val="5032783C"/>
    <w:rsid w:val="505265EC"/>
    <w:rsid w:val="50D05BCF"/>
    <w:rsid w:val="50D4096F"/>
    <w:rsid w:val="510F4097"/>
    <w:rsid w:val="518D2656"/>
    <w:rsid w:val="52A50AEE"/>
    <w:rsid w:val="5387638E"/>
    <w:rsid w:val="53E279F2"/>
    <w:rsid w:val="55124D59"/>
    <w:rsid w:val="551626A4"/>
    <w:rsid w:val="5584023A"/>
    <w:rsid w:val="55CA726F"/>
    <w:rsid w:val="5643516A"/>
    <w:rsid w:val="56883078"/>
    <w:rsid w:val="568868F7"/>
    <w:rsid w:val="56C308AF"/>
    <w:rsid w:val="5893521F"/>
    <w:rsid w:val="58B3082B"/>
    <w:rsid w:val="58DE0DB9"/>
    <w:rsid w:val="595A5BCD"/>
    <w:rsid w:val="5AE9205C"/>
    <w:rsid w:val="5B2C5470"/>
    <w:rsid w:val="5B843605"/>
    <w:rsid w:val="5BA6531E"/>
    <w:rsid w:val="5C2B4B37"/>
    <w:rsid w:val="5C3345A6"/>
    <w:rsid w:val="5D1F59FD"/>
    <w:rsid w:val="5DA90B0A"/>
    <w:rsid w:val="5DCB20AC"/>
    <w:rsid w:val="5DCB7293"/>
    <w:rsid w:val="5DEB77E1"/>
    <w:rsid w:val="60FF6599"/>
    <w:rsid w:val="61194641"/>
    <w:rsid w:val="61740B5D"/>
    <w:rsid w:val="62BA66C9"/>
    <w:rsid w:val="63845A09"/>
    <w:rsid w:val="64AB3FE0"/>
    <w:rsid w:val="65442C85"/>
    <w:rsid w:val="66135473"/>
    <w:rsid w:val="6690333C"/>
    <w:rsid w:val="66B47361"/>
    <w:rsid w:val="673B356C"/>
    <w:rsid w:val="67726C75"/>
    <w:rsid w:val="67B217D9"/>
    <w:rsid w:val="67F38871"/>
    <w:rsid w:val="68042718"/>
    <w:rsid w:val="68132AC3"/>
    <w:rsid w:val="691E4B59"/>
    <w:rsid w:val="693452D3"/>
    <w:rsid w:val="6A2A76C7"/>
    <w:rsid w:val="6A6B0E95"/>
    <w:rsid w:val="6AFFEF94"/>
    <w:rsid w:val="6B850750"/>
    <w:rsid w:val="6B9F693E"/>
    <w:rsid w:val="6C9732ED"/>
    <w:rsid w:val="6CB4173A"/>
    <w:rsid w:val="6CEB3CB3"/>
    <w:rsid w:val="6E41636D"/>
    <w:rsid w:val="6F434DAA"/>
    <w:rsid w:val="6FEA4697"/>
    <w:rsid w:val="6FFF5F63"/>
    <w:rsid w:val="702A28D7"/>
    <w:rsid w:val="70B77763"/>
    <w:rsid w:val="70D436A9"/>
    <w:rsid w:val="71184261"/>
    <w:rsid w:val="71210E5A"/>
    <w:rsid w:val="720726CE"/>
    <w:rsid w:val="7211057C"/>
    <w:rsid w:val="731F42F2"/>
    <w:rsid w:val="737D0839"/>
    <w:rsid w:val="73A81DFA"/>
    <w:rsid w:val="73CB823D"/>
    <w:rsid w:val="74064370"/>
    <w:rsid w:val="748F3A86"/>
    <w:rsid w:val="75540FFB"/>
    <w:rsid w:val="757244F1"/>
    <w:rsid w:val="75B92BBF"/>
    <w:rsid w:val="760A52CD"/>
    <w:rsid w:val="770046C8"/>
    <w:rsid w:val="771B37A4"/>
    <w:rsid w:val="771D6EC5"/>
    <w:rsid w:val="77F91B2E"/>
    <w:rsid w:val="78040D39"/>
    <w:rsid w:val="78615070"/>
    <w:rsid w:val="786D36FC"/>
    <w:rsid w:val="78A824CF"/>
    <w:rsid w:val="78B74BB0"/>
    <w:rsid w:val="790E56EE"/>
    <w:rsid w:val="79AA2C5F"/>
    <w:rsid w:val="79B90EEE"/>
    <w:rsid w:val="79BF1E57"/>
    <w:rsid w:val="7AF50984"/>
    <w:rsid w:val="7B132DD3"/>
    <w:rsid w:val="7B5948AF"/>
    <w:rsid w:val="7B7716DA"/>
    <w:rsid w:val="7C711F6D"/>
    <w:rsid w:val="7CE5566F"/>
    <w:rsid w:val="7D3D683D"/>
    <w:rsid w:val="7D5B10EF"/>
    <w:rsid w:val="7D701C99"/>
    <w:rsid w:val="7DD3DAE9"/>
    <w:rsid w:val="7E0E2E93"/>
    <w:rsid w:val="7E787C95"/>
    <w:rsid w:val="7E7D16DE"/>
    <w:rsid w:val="7F2060C6"/>
    <w:rsid w:val="7F815F4C"/>
    <w:rsid w:val="7FC25176"/>
    <w:rsid w:val="7FC74411"/>
    <w:rsid w:val="B1F32D2F"/>
    <w:rsid w:val="B333EB8D"/>
    <w:rsid w:val="BE7B72FF"/>
    <w:rsid w:val="BF5B30DD"/>
    <w:rsid w:val="BFDD50A9"/>
    <w:rsid w:val="CDEE4791"/>
    <w:rsid w:val="CE7F3C5F"/>
    <w:rsid w:val="DE77B7AD"/>
    <w:rsid w:val="DF8E311F"/>
    <w:rsid w:val="DFDF7679"/>
    <w:rsid w:val="DFFF7CDB"/>
    <w:rsid w:val="E6AB171D"/>
    <w:rsid w:val="E7F6AB53"/>
    <w:rsid w:val="EF6F3024"/>
    <w:rsid w:val="EFCFF99E"/>
    <w:rsid w:val="F79B5B6F"/>
    <w:rsid w:val="F7FF4EC4"/>
    <w:rsid w:val="F8BFECCF"/>
    <w:rsid w:val="FA6782EF"/>
    <w:rsid w:val="FB678B2E"/>
    <w:rsid w:val="FBA42C1D"/>
    <w:rsid w:val="FC66E1B6"/>
    <w:rsid w:val="FD1D09E6"/>
    <w:rsid w:val="FEC538F7"/>
    <w:rsid w:val="FEFFE086"/>
    <w:rsid w:val="FF9F74AB"/>
    <w:rsid w:val="FFFD93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ind w:firstLine="435"/>
    </w:pPr>
    <w:rPr>
      <w:rFonts w:ascii="方正仿宋简体" w:eastAsia="方正仿宋简体"/>
      <w:sz w:val="32"/>
    </w:rPr>
  </w:style>
  <w:style w:type="paragraph" w:styleId="4">
    <w:name w:val="Normal Indent"/>
    <w:basedOn w:val="1"/>
    <w:next w:val="1"/>
    <w:qFormat/>
    <w:uiPriority w:val="99"/>
    <w:pPr>
      <w:ind w:firstLine="567"/>
    </w:pPr>
  </w:style>
  <w:style w:type="paragraph" w:styleId="6">
    <w:name w:val="Plain Text"/>
    <w:basedOn w:val="1"/>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Revision"/>
    <w:hidden/>
    <w:unhideWhenUsed/>
    <w:qFormat/>
    <w:uiPriority w:val="99"/>
    <w:rPr>
      <w:rFonts w:ascii="Calibri" w:hAnsi="Calibri" w:eastAsia="宋体" w:cs="Times New Roman"/>
      <w:kern w:val="2"/>
      <w:sz w:val="21"/>
      <w:szCs w:val="24"/>
      <w:lang w:val="en-US" w:eastAsia="zh-CN" w:bidi="ar-SA"/>
    </w:rPr>
  </w:style>
  <w:style w:type="paragraph" w:customStyle="1" w:styleId="15">
    <w:name w:val="正文首行缩进 21"/>
    <w:basedOn w:val="1"/>
    <w:qFormat/>
    <w:uiPriority w:val="99"/>
    <w:pPr>
      <w:ind w:firstLine="420" w:firstLineChars="200"/>
    </w:pPr>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3678</Words>
  <Characters>3702</Characters>
  <Lines>46</Lines>
  <Paragraphs>13</Paragraphs>
  <TotalTime>0</TotalTime>
  <ScaleCrop>false</ScaleCrop>
  <LinksUpToDate>false</LinksUpToDate>
  <CharactersWithSpaces>3758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婁超羣</cp:lastModifiedBy>
  <cp:lastPrinted>2025-07-30T14:04:00Z</cp:lastPrinted>
  <dcterms:modified xsi:type="dcterms:W3CDTF">2025-09-06T00:47:05Z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A6C027F3103745398FEC05C759FE3F2C_13</vt:lpwstr>
  </property>
  <property fmtid="{D5CDD505-2E9C-101B-9397-08002B2CF9AE}" pid="4" name="KSOTemplateDocerSaveRecord">
    <vt:lpwstr>eyJoZGlkIjoiNWM2NWQ4Yzc2ODRmMjkxNjA5MzQ4NTVjMjAzNDYwMTQiLCJ1c2VySWQiOiI0MTQwNjcxMDIifQ==</vt:lpwstr>
  </property>
</Properties>
</file>