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8E191">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仿宋_GB2312" w:hAnsi="仿宋_GB2312" w:eastAsia="方正小标宋简体" w:cs="方正小标宋简体"/>
          <w:color w:val="auto"/>
          <w:sz w:val="44"/>
          <w:szCs w:val="44"/>
        </w:rPr>
      </w:pPr>
    </w:p>
    <w:p w14:paraId="1D3A07B5">
      <w:pPr>
        <w:pStyle w:val="4"/>
        <w:keepNext w:val="0"/>
        <w:keepLines w:val="0"/>
        <w:pageBreakBefore w:val="0"/>
        <w:widowControl w:val="0"/>
        <w:kinsoku/>
        <w:wordWrap/>
        <w:overflowPunct/>
        <w:topLinePunct w:val="0"/>
        <w:autoSpaceDE/>
        <w:autoSpaceDN/>
        <w:bidi w:val="0"/>
        <w:adjustRightInd/>
        <w:snapToGrid/>
        <w:spacing w:line="586" w:lineRule="exact"/>
        <w:textAlignment w:val="auto"/>
        <w:rPr>
          <w:color w:val="auto"/>
        </w:rPr>
      </w:pPr>
    </w:p>
    <w:p w14:paraId="447B56BA">
      <w:pPr>
        <w:keepNext w:val="0"/>
        <w:keepLines w:val="0"/>
        <w:pageBreakBefore w:val="0"/>
        <w:widowControl w:val="0"/>
        <w:kinsoku/>
        <w:wordWrap/>
        <w:overflowPunct/>
        <w:topLinePunct w:val="0"/>
        <w:autoSpaceDE/>
        <w:autoSpaceDN/>
        <w:bidi w:val="0"/>
        <w:adjustRightInd/>
        <w:snapToGrid/>
        <w:spacing w:line="586" w:lineRule="exact"/>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鲁人社函〔2025〕83号</w:t>
      </w:r>
    </w:p>
    <w:p w14:paraId="059522A6">
      <w:pPr>
        <w:pStyle w:val="2"/>
        <w:keepNext w:val="0"/>
        <w:keepLines w:val="0"/>
        <w:pageBreakBefore w:val="0"/>
        <w:widowControl w:val="0"/>
        <w:kinsoku/>
        <w:wordWrap/>
        <w:overflowPunct/>
        <w:topLinePunct w:val="0"/>
        <w:autoSpaceDE/>
        <w:autoSpaceDN/>
        <w:bidi w:val="0"/>
        <w:adjustRightInd/>
        <w:snapToGrid/>
        <w:spacing w:after="0" w:line="586" w:lineRule="exact"/>
        <w:textAlignment w:val="auto"/>
        <w:rPr>
          <w:rFonts w:hint="eastAsia"/>
          <w:color w:val="auto"/>
        </w:rPr>
      </w:pPr>
    </w:p>
    <w:p w14:paraId="6E158B49">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仿宋_GB2312" w:hAnsi="仿宋_GB2312" w:eastAsia="方正小标宋简体" w:cs="方正小标宋简体"/>
          <w:color w:val="auto"/>
          <w:sz w:val="44"/>
          <w:szCs w:val="44"/>
        </w:rPr>
      </w:pPr>
      <w:r>
        <w:rPr>
          <w:rFonts w:ascii="仿宋_GB2312" w:hAnsi="仿宋_GB2312" w:eastAsia="方正小标宋简体" w:cs="方正小标宋简体"/>
          <w:color w:val="auto"/>
          <w:sz w:val="44"/>
          <w:szCs w:val="44"/>
        </w:rPr>
        <w:t>山东省人力资源和社会保障厅</w:t>
      </w:r>
      <w:r>
        <w:rPr>
          <w:rFonts w:hint="eastAsia" w:ascii="仿宋_GB2312" w:hAnsi="仿宋_GB2312" w:eastAsia="方正小标宋简体" w:cs="方正小标宋简体"/>
          <w:color w:val="auto"/>
          <w:sz w:val="44"/>
          <w:szCs w:val="44"/>
        </w:rPr>
        <w:t>关于开展</w:t>
      </w:r>
    </w:p>
    <w:p w14:paraId="515CA009">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仿宋_GB2312" w:hAnsi="仿宋_GB2312"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2025</w:t>
      </w:r>
      <w:r>
        <w:rPr>
          <w:rFonts w:hint="eastAsia" w:ascii="仿宋_GB2312" w:hAnsi="仿宋_GB2312" w:eastAsia="方正小标宋简体" w:cs="方正小标宋简体"/>
          <w:color w:val="auto"/>
          <w:sz w:val="44"/>
          <w:szCs w:val="44"/>
        </w:rPr>
        <w:t>年高校毕业生等青年就业服务</w:t>
      </w:r>
    </w:p>
    <w:p w14:paraId="3CA2C0CE">
      <w:pPr>
        <w:keepNext w:val="0"/>
        <w:keepLines w:val="0"/>
        <w:pageBreakBefore w:val="0"/>
        <w:widowControl w:val="0"/>
        <w:kinsoku/>
        <w:wordWrap/>
        <w:overflowPunct/>
        <w:topLinePunct w:val="0"/>
        <w:autoSpaceDE/>
        <w:autoSpaceDN/>
        <w:bidi w:val="0"/>
        <w:adjustRightInd/>
        <w:snapToGrid/>
        <w:spacing w:line="586" w:lineRule="exact"/>
        <w:jc w:val="center"/>
        <w:textAlignment w:val="auto"/>
        <w:rPr>
          <w:rFonts w:hint="eastAsia" w:ascii="仿宋_GB2312" w:hAnsi="仿宋_GB2312" w:eastAsia="方正小标宋简体" w:cs="方正小标宋简体"/>
          <w:color w:val="auto"/>
          <w:sz w:val="44"/>
          <w:szCs w:val="44"/>
        </w:rPr>
      </w:pPr>
      <w:r>
        <w:rPr>
          <w:rFonts w:hint="eastAsia" w:ascii="仿宋_GB2312" w:hAnsi="仿宋_GB2312" w:eastAsia="方正小标宋简体" w:cs="方正小标宋简体"/>
          <w:color w:val="auto"/>
          <w:sz w:val="44"/>
          <w:szCs w:val="44"/>
        </w:rPr>
        <w:t>攻坚行动的通知</w:t>
      </w:r>
    </w:p>
    <w:p w14:paraId="7091AB31">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仿宋_GB2312" w:hAnsi="仿宋_GB2312" w:eastAsia="仿宋" w:cs="仿宋"/>
          <w:color w:val="auto"/>
          <w:szCs w:val="32"/>
        </w:rPr>
      </w:pPr>
    </w:p>
    <w:p w14:paraId="33D1DEB5">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仿宋_GB2312" w:hAnsi="仿宋_GB2312" w:eastAsia="仿宋_GB2312" w:cs="Times New Roman"/>
          <w:color w:val="auto"/>
        </w:rPr>
      </w:pPr>
      <w:r>
        <w:rPr>
          <w:rFonts w:hint="eastAsia" w:ascii="仿宋_GB2312" w:hAnsi="仿宋_GB2312" w:eastAsia="仿宋_GB2312" w:cs="Times New Roman"/>
          <w:color w:val="auto"/>
        </w:rPr>
        <w:t>各市人力资源社会保障局：</w:t>
      </w:r>
    </w:p>
    <w:p w14:paraId="1D498473">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Times New Roman"/>
          <w:color w:val="auto"/>
        </w:rPr>
        <w:t>为深入贯彻党中央、国务院决策部署，落实《</w:t>
      </w:r>
      <w:bookmarkStart w:id="0" w:name="OLE_LINK5"/>
      <w:r>
        <w:rPr>
          <w:rFonts w:hint="eastAsia" w:ascii="仿宋_GB2312" w:hAnsi="仿宋_GB2312" w:eastAsia="仿宋_GB2312" w:cs="Times New Roman"/>
          <w:color w:val="auto"/>
        </w:rPr>
        <w:t>人力资源社会保障部办公厅关于开展</w:t>
      </w:r>
      <w:r>
        <w:rPr>
          <w:rFonts w:hint="eastAsia" w:ascii="仿宋_GB2312" w:hAnsi="仿宋_GB2312" w:eastAsia="仿宋_GB2312" w:cs="仿宋_GB2312"/>
          <w:color w:val="auto"/>
          <w:szCs w:val="32"/>
        </w:rPr>
        <w:t>2025</w:t>
      </w:r>
      <w:r>
        <w:rPr>
          <w:rFonts w:hint="eastAsia" w:ascii="仿宋_GB2312" w:hAnsi="仿宋_GB2312" w:eastAsia="仿宋_GB2312" w:cs="Times New Roman"/>
          <w:color w:val="auto"/>
        </w:rPr>
        <w:t>年高校毕业生等青年就业服务攻坚行动的通知</w:t>
      </w:r>
      <w:bookmarkEnd w:id="0"/>
      <w:r>
        <w:rPr>
          <w:rFonts w:hint="eastAsia" w:ascii="仿宋_GB2312" w:hAnsi="仿宋_GB2312" w:eastAsia="仿宋_GB2312" w:cs="Times New Roman"/>
          <w:color w:val="auto"/>
        </w:rPr>
        <w:t>》要求，全力促进高校毕业生等青年就业，省人力资源社会保障厅决定在全省集中开展高校毕业生等青年就业服务攻坚行动。现</w:t>
      </w:r>
      <w:r>
        <w:rPr>
          <w:rFonts w:ascii="仿宋_GB2312" w:hAnsi="仿宋_GB2312" w:eastAsia="仿宋_GB2312" w:cs="Times New Roman"/>
          <w:color w:val="auto"/>
        </w:rPr>
        <w:t>就有关</w:t>
      </w:r>
      <w:r>
        <w:rPr>
          <w:rFonts w:hint="eastAsia" w:ascii="仿宋_GB2312" w:hAnsi="仿宋_GB2312" w:eastAsia="仿宋_GB2312" w:cs="Times New Roman"/>
          <w:color w:val="auto"/>
        </w:rPr>
        <w:t>工作</w:t>
      </w:r>
      <w:r>
        <w:rPr>
          <w:rFonts w:ascii="仿宋_GB2312" w:hAnsi="仿宋_GB2312" w:eastAsia="仿宋_GB2312" w:cs="Times New Roman"/>
          <w:color w:val="auto"/>
        </w:rPr>
        <w:t>通知</w:t>
      </w:r>
      <w:r>
        <w:rPr>
          <w:rFonts w:hint="eastAsia" w:ascii="仿宋_GB2312" w:hAnsi="仿宋_GB2312" w:eastAsia="仿宋_GB2312" w:cs="Times New Roman"/>
          <w:color w:val="auto"/>
        </w:rPr>
        <w:t>如下：</w:t>
      </w:r>
    </w:p>
    <w:p w14:paraId="5E851588">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黑体" w:cs="黑体"/>
          <w:color w:val="auto"/>
        </w:rPr>
      </w:pPr>
      <w:r>
        <w:rPr>
          <w:rFonts w:hint="eastAsia" w:ascii="仿宋_GB2312" w:hAnsi="仿宋_GB2312" w:eastAsia="黑体" w:cs="黑体"/>
          <w:color w:val="auto"/>
        </w:rPr>
        <w:t>一、行动主题</w:t>
      </w:r>
    </w:p>
    <w:p w14:paraId="3F71D979">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仿宋_GB2312" w:cs="Times New Roman"/>
          <w:color w:val="auto"/>
        </w:rPr>
      </w:pPr>
      <w:r>
        <w:rPr>
          <w:rFonts w:hint="eastAsia" w:ascii="仿宋_GB2312" w:hAnsi="仿宋_GB2312" w:eastAsia="仿宋_GB2312" w:cs="Times New Roman"/>
          <w:color w:val="auto"/>
        </w:rPr>
        <w:t>攻坚促就业 奋进创未来</w:t>
      </w:r>
    </w:p>
    <w:p w14:paraId="2EF26442">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黑体" w:cs="黑体"/>
          <w:color w:val="auto"/>
        </w:rPr>
      </w:pPr>
      <w:r>
        <w:rPr>
          <w:rFonts w:hint="eastAsia" w:ascii="仿宋_GB2312" w:hAnsi="仿宋_GB2312" w:eastAsia="黑体" w:cs="黑体"/>
          <w:color w:val="auto"/>
        </w:rPr>
        <w:t>二、行动时间</w:t>
      </w:r>
    </w:p>
    <w:p w14:paraId="17A779F9">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仿宋_GB2312" w:cs="Times New Roman"/>
          <w:color w:val="auto"/>
        </w:rPr>
      </w:pPr>
      <w:r>
        <w:rPr>
          <w:rFonts w:hint="eastAsia" w:ascii="仿宋_GB2312" w:hAnsi="仿宋_GB2312" w:eastAsia="仿宋_GB2312" w:cs="仿宋_GB2312"/>
          <w:color w:val="auto"/>
          <w:szCs w:val="32"/>
        </w:rPr>
        <w:t>2025年7月</w:t>
      </w:r>
      <w:r>
        <w:rPr>
          <w:rFonts w:hint="eastAsia" w:ascii="仿宋_GB2312" w:hAnsi="仿宋_GB2312" w:eastAsia="仿宋_GB2312" w:cs="仿宋_GB2312"/>
          <w:color w:val="auto"/>
          <w:szCs w:val="32"/>
          <w:lang w:eastAsia="zh"/>
        </w:rPr>
        <w:t>—</w:t>
      </w:r>
      <w:r>
        <w:rPr>
          <w:rFonts w:hint="eastAsia" w:ascii="仿宋_GB2312" w:hAnsi="仿宋_GB2312" w:eastAsia="仿宋_GB2312" w:cs="仿宋_GB2312"/>
          <w:color w:val="auto"/>
          <w:szCs w:val="32"/>
        </w:rPr>
        <w:t>12月</w:t>
      </w:r>
    </w:p>
    <w:p w14:paraId="7A65F8F5">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黑体" w:cs="黑体"/>
          <w:color w:val="auto"/>
        </w:rPr>
      </w:pPr>
      <w:r>
        <w:rPr>
          <w:rFonts w:hint="eastAsia" w:ascii="仿宋_GB2312" w:hAnsi="仿宋_GB2312" w:eastAsia="黑体" w:cs="黑体"/>
          <w:color w:val="auto"/>
        </w:rPr>
        <w:t>三</w:t>
      </w:r>
      <w:r>
        <w:rPr>
          <w:rFonts w:ascii="仿宋_GB2312" w:hAnsi="仿宋_GB2312" w:eastAsia="黑体" w:cs="黑体"/>
          <w:color w:val="auto"/>
        </w:rPr>
        <w:t>、服务对象</w:t>
      </w:r>
    </w:p>
    <w:p w14:paraId="723FED0D">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仿宋_GB2312" w:cs="Times New Roman"/>
          <w:color w:val="auto"/>
        </w:rPr>
      </w:pPr>
      <w:r>
        <w:rPr>
          <w:rFonts w:hint="eastAsia" w:ascii="仿宋_GB2312" w:hAnsi="仿宋_GB2312" w:eastAsia="仿宋_GB2312" w:cs="仿宋_GB2312"/>
          <w:color w:val="auto"/>
          <w:szCs w:val="32"/>
        </w:rPr>
        <w:t>（一）2025</w:t>
      </w:r>
      <w:r>
        <w:rPr>
          <w:rFonts w:ascii="仿宋_GB2312" w:hAnsi="仿宋_GB2312" w:eastAsia="仿宋_GB2312" w:cs="Times New Roman"/>
          <w:color w:val="auto"/>
        </w:rPr>
        <w:t>届离校未就业高校毕业生</w:t>
      </w:r>
      <w:r>
        <w:rPr>
          <w:rFonts w:hint="eastAsia" w:ascii="仿宋_GB2312" w:hAnsi="仿宋_GB2312" w:eastAsia="仿宋_GB2312" w:cs="Times New Roman"/>
          <w:color w:val="auto"/>
        </w:rPr>
        <w:t>；</w:t>
      </w:r>
    </w:p>
    <w:p w14:paraId="6B4D552E">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eastAsia" w:ascii="仿宋_GB2312" w:hAnsi="仿宋_GB2312" w:eastAsia="仿宋_GB2312" w:cs="Times New Roman"/>
          <w:color w:val="auto"/>
        </w:rPr>
      </w:pPr>
      <w:r>
        <w:rPr>
          <w:rFonts w:hint="eastAsia" w:ascii="仿宋_GB2312" w:hAnsi="仿宋_GB2312" w:eastAsia="仿宋_GB2312" w:cs="Times New Roman"/>
          <w:color w:val="auto"/>
        </w:rPr>
        <w:t>（二）在各级人力资源社会保障部门登记失业的</w:t>
      </w:r>
      <w:r>
        <w:rPr>
          <w:rFonts w:hint="eastAsia" w:ascii="仿宋_GB2312" w:hAnsi="仿宋_GB2312" w:eastAsia="仿宋_GB2312" w:cs="仿宋_GB2312"/>
          <w:color w:val="auto"/>
          <w:szCs w:val="32"/>
        </w:rPr>
        <w:t>16</w:t>
      </w:r>
      <w:r>
        <w:rPr>
          <w:rFonts w:hint="eastAsia" w:ascii="仿宋_GB2312" w:hAnsi="仿宋_GB2312" w:eastAsia="仿宋_GB2312" w:cs="仿宋_GB2312"/>
          <w:color w:val="auto"/>
          <w:szCs w:val="32"/>
          <w:lang w:eastAsia="zh"/>
        </w:rPr>
        <w:t>—</w:t>
      </w:r>
      <w:r>
        <w:rPr>
          <w:rFonts w:hint="eastAsia" w:ascii="仿宋_GB2312" w:hAnsi="仿宋_GB2312" w:eastAsia="仿宋_GB2312" w:cs="仿宋_GB2312"/>
          <w:color w:val="auto"/>
          <w:szCs w:val="32"/>
        </w:rPr>
        <w:t>24</w:t>
      </w:r>
      <w:r>
        <w:rPr>
          <w:rFonts w:hint="eastAsia" w:ascii="仿宋_GB2312" w:hAnsi="仿宋_GB2312" w:eastAsia="仿宋_GB2312" w:cs="Times New Roman"/>
          <w:color w:val="auto"/>
        </w:rPr>
        <w:t>岁青年</w:t>
      </w:r>
      <w:r>
        <w:rPr>
          <w:rFonts w:ascii="仿宋_GB2312" w:hAnsi="仿宋_GB2312" w:eastAsia="仿宋_GB2312" w:cs="Times New Roman"/>
          <w:color w:val="auto"/>
        </w:rPr>
        <w:t>。</w:t>
      </w:r>
    </w:p>
    <w:p w14:paraId="43B40D3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黑体" w:cs="黑体"/>
          <w:color w:val="auto"/>
        </w:rPr>
      </w:pPr>
      <w:r>
        <w:rPr>
          <w:rFonts w:hint="eastAsia" w:ascii="仿宋_GB2312" w:hAnsi="仿宋_GB2312" w:eastAsia="黑体" w:cs="黑体"/>
          <w:color w:val="auto"/>
        </w:rPr>
        <w:t>四、主要任务</w:t>
      </w:r>
    </w:p>
    <w:p w14:paraId="0AC05DA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color w:val="auto"/>
        </w:rPr>
      </w:pPr>
      <w:r>
        <w:rPr>
          <w:rFonts w:hint="eastAsia" w:ascii="仿宋_GB2312" w:hAnsi="仿宋_GB2312" w:eastAsia="仿宋_GB2312" w:cs="Times New Roman"/>
          <w:color w:val="auto"/>
        </w:rPr>
        <w:t xml:space="preserve">聚焦高校毕业生等青年就业创业需求，集中提供全方位服务，力争有就业意愿的未就业高校毕业生和登记失业青年年底前都能实现就业或参加到就业准备活动中，确保离校未就业高校毕业生联系服务率达到100%，青年就业水平总体平稳。 </w:t>
      </w:r>
    </w:p>
    <w:p w14:paraId="35EDD35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olor w:val="auto"/>
        </w:rPr>
      </w:pPr>
      <w:bookmarkStart w:id="1" w:name="OLE_LINK1"/>
      <w:r>
        <w:rPr>
          <w:rFonts w:ascii="仿宋_GB2312" w:hAnsi="仿宋_GB2312" w:eastAsia="楷体_GB2312" w:cs="楷体_GB2312"/>
          <w:b w:val="0"/>
          <w:bCs w:val="0"/>
          <w:color w:val="auto"/>
          <w:szCs w:val="32"/>
        </w:rPr>
        <w:t>（一）强化就业创业政策落地见效</w:t>
      </w:r>
      <w:r>
        <w:rPr>
          <w:rFonts w:hint="eastAsia" w:ascii="仿宋_GB2312" w:hAnsi="仿宋_GB2312" w:eastAsia="楷体_GB2312" w:cs="楷体_GB2312"/>
          <w:b w:val="0"/>
          <w:bCs w:val="0"/>
          <w:color w:val="auto"/>
          <w:szCs w:val="32"/>
        </w:rPr>
        <w:t>。</w:t>
      </w:r>
      <w:r>
        <w:rPr>
          <w:rFonts w:hint="eastAsia" w:ascii="仿宋_GB2312" w:hAnsi="仿宋_GB2312" w:eastAsia="仿宋_GB2312" w:cs="Times New Roman"/>
          <w:color w:val="auto"/>
        </w:rPr>
        <w:t>加快推进各项就业创业政策落实，用足用好稳岗返还、社保补贴、税费减免、培训补贴、担保贷款等惠企政策，拓宽一次性扩岗补助范围，延续实施国有企业招聘高校毕业生增人增资政策。综合运用“政策找人”“直补快办”“政策计算器”等服务方式推动就业创业政策及时兑现，推广高效办成个人创业“一件事”。</w:t>
      </w:r>
    </w:p>
    <w:p w14:paraId="76663F3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楷体_GB2312" w:cs="楷体_GB2312"/>
          <w:color w:val="auto"/>
          <w:szCs w:val="32"/>
        </w:rPr>
      </w:pPr>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二</w:t>
      </w:r>
      <w:r>
        <w:rPr>
          <w:rFonts w:ascii="仿宋_GB2312" w:hAnsi="仿宋_GB2312" w:eastAsia="楷体_GB2312" w:cs="楷体_GB2312"/>
          <w:b w:val="0"/>
          <w:bCs w:val="0"/>
          <w:color w:val="auto"/>
          <w:szCs w:val="32"/>
        </w:rPr>
        <w:t>）集中开展就业创业政策宣传</w:t>
      </w:r>
      <w:r>
        <w:rPr>
          <w:rFonts w:hint="eastAsia" w:ascii="仿宋_GB2312" w:hAnsi="仿宋_GB2312" w:eastAsia="楷体_GB2312" w:cs="楷体_GB2312"/>
          <w:b w:val="0"/>
          <w:bCs w:val="0"/>
          <w:color w:val="auto"/>
          <w:szCs w:val="32"/>
        </w:rPr>
        <w:t>。</w:t>
      </w:r>
      <w:r>
        <w:rPr>
          <w:rFonts w:hint="eastAsia" w:ascii="仿宋_GB2312" w:hAnsi="仿宋_GB2312" w:eastAsia="仿宋_GB2312" w:cs="仿宋_GB2312"/>
          <w:color w:val="auto"/>
          <w:szCs w:val="32"/>
        </w:rPr>
        <w:t>加大高校毕业生等青年就业创业政策宣传力度，充分利用各种媒介，发布政策公告、开展政策咨询、组织政策宣讲，确保各项政策应知尽知。</w:t>
      </w:r>
      <w:r>
        <w:rPr>
          <w:rFonts w:hint="eastAsia" w:ascii="仿宋_GB2312" w:hAnsi="仿宋_GB2312" w:eastAsia="仿宋_GB2312" w:cs="Times New Roman"/>
          <w:color w:val="auto"/>
        </w:rPr>
        <w:t>要充分运用各种渠道，通过公开信</w:t>
      </w:r>
      <w:r>
        <w:rPr>
          <w:rFonts w:ascii="仿宋_GB2312" w:hAnsi="仿宋_GB2312" w:eastAsia="仿宋_GB2312" w:cs="Times New Roman"/>
          <w:color w:val="auto"/>
        </w:rPr>
        <w:t>（省厅公开信见附件1，各市可参照）</w:t>
      </w:r>
      <w:r>
        <w:rPr>
          <w:rFonts w:hint="eastAsia" w:ascii="仿宋_GB2312" w:hAnsi="仿宋_GB2312" w:eastAsia="仿宋_GB2312" w:cs="Times New Roman"/>
          <w:color w:val="auto"/>
        </w:rPr>
        <w:t>或服务公告，发布公共就业人才服务机构清单、政策清单、服务清单、求职途径、招聘渠道“五项清单”。深化</w:t>
      </w:r>
      <w:r>
        <w:rPr>
          <w:rFonts w:hint="eastAsia" w:ascii="仿宋_GB2312" w:hAnsi="仿宋_GB2312" w:eastAsia="仿宋_GB2312" w:cs="仿宋_GB2312"/>
          <w:color w:val="auto"/>
          <w:szCs w:val="32"/>
        </w:rPr>
        <w:t>政策解读，各市面向基层工作人员每年至少组织一次政策培训,</w:t>
      </w:r>
      <w:r>
        <w:rPr>
          <w:rFonts w:hint="eastAsia" w:ascii="仿宋_GB2312" w:hAnsi="仿宋_GB2312" w:eastAsia="仿宋_GB2312" w:cs="Times New Roman"/>
          <w:color w:val="auto"/>
        </w:rPr>
        <w:t>毕业生较为集中的设区市应结合实际增加培训机会。</w:t>
      </w:r>
    </w:p>
    <w:p w14:paraId="59A6EA4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Times New Roman"/>
          <w:color w:val="auto"/>
        </w:rPr>
      </w:pPr>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三</w:t>
      </w:r>
      <w:r>
        <w:rPr>
          <w:rFonts w:ascii="仿宋_GB2312" w:hAnsi="仿宋_GB2312" w:eastAsia="楷体_GB2312" w:cs="楷体_GB2312"/>
          <w:b w:val="0"/>
          <w:bCs w:val="0"/>
          <w:color w:val="auto"/>
          <w:szCs w:val="32"/>
        </w:rPr>
        <w:t>）做实做细</w:t>
      </w:r>
      <w:r>
        <w:rPr>
          <w:rFonts w:hint="eastAsia" w:ascii="仿宋_GB2312" w:hAnsi="仿宋_GB2312" w:eastAsia="楷体_GB2312" w:cs="楷体_GB2312"/>
          <w:b w:val="0"/>
          <w:bCs w:val="0"/>
          <w:color w:val="auto"/>
          <w:szCs w:val="32"/>
        </w:rPr>
        <w:t>“两个台账”</w:t>
      </w:r>
      <w:r>
        <w:rPr>
          <w:rFonts w:ascii="仿宋_GB2312" w:hAnsi="仿宋_GB2312" w:eastAsia="楷体_GB2312" w:cs="楷体_GB2312"/>
          <w:b w:val="0"/>
          <w:bCs w:val="0"/>
          <w:color w:val="auto"/>
          <w:szCs w:val="32"/>
        </w:rPr>
        <w:t>就业服务</w:t>
      </w:r>
      <w:r>
        <w:rPr>
          <w:rFonts w:hint="eastAsia" w:ascii="仿宋_GB2312" w:hAnsi="仿宋_GB2312" w:eastAsia="楷体_GB2312" w:cs="楷体_GB2312"/>
          <w:b w:val="0"/>
          <w:bCs w:val="0"/>
          <w:color w:val="auto"/>
          <w:szCs w:val="32"/>
        </w:rPr>
        <w:t>。</w:t>
      </w:r>
      <w:r>
        <w:rPr>
          <w:rFonts w:hint="eastAsia" w:ascii="仿宋_GB2312" w:hAnsi="仿宋_GB2312" w:eastAsia="仿宋_GB2312" w:cs="仿宋_GB2312"/>
          <w:color w:val="auto"/>
          <w:szCs w:val="32"/>
        </w:rPr>
        <w:t>7</w:t>
      </w:r>
      <w:r>
        <w:rPr>
          <w:rFonts w:hint="eastAsia" w:ascii="仿宋_GB2312" w:hAnsi="仿宋_GB2312" w:eastAsia="仿宋_GB2312" w:cs="Times New Roman"/>
          <w:color w:val="auto"/>
        </w:rPr>
        <w:t>月底前，各市人力资源社会保障</w:t>
      </w:r>
      <w:r>
        <w:rPr>
          <w:rFonts w:ascii="仿宋_GB2312" w:hAnsi="仿宋_GB2312" w:eastAsia="仿宋_GB2312" w:cs="Times New Roman"/>
          <w:color w:val="auto"/>
        </w:rPr>
        <w:t>局</w:t>
      </w:r>
      <w:r>
        <w:rPr>
          <w:rFonts w:hint="eastAsia" w:ascii="仿宋_GB2312" w:hAnsi="仿宋_GB2312" w:eastAsia="仿宋_GB2312" w:cs="Times New Roman"/>
          <w:color w:val="auto"/>
        </w:rPr>
        <w:t>要对省厅移交求职登记小程序等各渠道登记的毕业生，纳入联系服务范围，形成</w:t>
      </w:r>
      <w:r>
        <w:rPr>
          <w:rFonts w:ascii="仿宋_GB2312" w:hAnsi="仿宋_GB2312" w:eastAsia="仿宋_GB2312" w:cs="Times New Roman"/>
          <w:color w:val="auto"/>
        </w:rPr>
        <w:t>2025届</w:t>
      </w:r>
      <w:r>
        <w:rPr>
          <w:rFonts w:hint="eastAsia" w:ascii="仿宋_GB2312" w:hAnsi="仿宋_GB2312" w:eastAsia="仿宋_GB2312" w:cs="Times New Roman"/>
          <w:color w:val="auto"/>
        </w:rPr>
        <w:t>未就业高校毕业生实名台账。依托实名台账，通过上门走访、电话访谈等方式，逐一摸清个人信息、就业需求、帮扶状态等情况</w:t>
      </w:r>
      <w:bookmarkStart w:id="2" w:name="_Hlk202541330"/>
      <w:r>
        <w:rPr>
          <w:rFonts w:hint="eastAsia" w:ascii="仿宋_GB2312" w:hAnsi="仿宋_GB2312" w:eastAsia="仿宋_GB2312" w:cs="Times New Roman"/>
          <w:color w:val="auto"/>
        </w:rPr>
        <w:t>。</w:t>
      </w:r>
      <w:bookmarkEnd w:id="2"/>
      <w:r>
        <w:rPr>
          <w:rFonts w:hint="eastAsia" w:ascii="仿宋_GB2312" w:hAnsi="仿宋_GB2312" w:eastAsia="仿宋_GB2312" w:cs="Times New Roman"/>
          <w:color w:val="auto"/>
        </w:rPr>
        <w:t>对未就业毕业生开展集中帮扶，普遍提供“1131”服务，即至少提供1次政策宣介、1次职业指导、3次岗位推介、1次技能培训或就业见习机会。</w:t>
      </w:r>
      <w:r>
        <w:rPr>
          <w:rFonts w:hint="eastAsia" w:ascii="仿宋_GB2312" w:eastAsia="仿宋_GB2312"/>
          <w:color w:val="auto"/>
          <w:szCs w:val="32"/>
        </w:rPr>
        <w:t>依托省公共就业人才服务信息系统及社区就业驿站等</w:t>
      </w:r>
      <w:r>
        <w:rPr>
          <w:rFonts w:hint="eastAsia" w:ascii="仿宋_GB2312" w:hAnsi="仿宋_GB2312" w:eastAsia="仿宋_GB2312" w:cs="Times New Roman"/>
          <w:color w:val="auto"/>
        </w:rPr>
        <w:t>摸清辖区内登记失业青年的个人信息和就业、培训需求，7月底</w:t>
      </w:r>
      <w:r>
        <w:rPr>
          <w:rFonts w:ascii="仿宋_GB2312" w:hAnsi="仿宋_GB2312" w:eastAsia="仿宋_GB2312" w:cs="Times New Roman"/>
          <w:color w:val="auto"/>
        </w:rPr>
        <w:t>前建立</w:t>
      </w:r>
      <w:r>
        <w:rPr>
          <w:rFonts w:hint="eastAsia" w:ascii="仿宋_GB2312" w:hAnsi="仿宋_GB2312" w:eastAsia="仿宋_GB2312" w:cs="Times New Roman"/>
          <w:color w:val="auto"/>
        </w:rPr>
        <w:t>登记失业青年实名台账，普遍</w:t>
      </w:r>
      <w:r>
        <w:rPr>
          <w:rFonts w:hint="eastAsia" w:ascii="仿宋_GB2312" w:eastAsia="仿宋_GB2312"/>
          <w:color w:val="auto"/>
          <w:szCs w:val="32"/>
        </w:rPr>
        <w:t>提供“12333”式服务</w:t>
      </w:r>
      <w:r>
        <w:rPr>
          <w:rFonts w:hint="eastAsia" w:ascii="仿宋_GB2312" w:hAnsi="仿宋_GB2312" w:eastAsia="仿宋_GB2312" w:cs="Times New Roman"/>
          <w:color w:val="auto"/>
        </w:rPr>
        <w:t>。对未就业毕业生等青年就业状态和服务提供等发生变化的要在台账中及时记载、动态更新。</w:t>
      </w:r>
    </w:p>
    <w:p w14:paraId="1420BB5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Times New Roman"/>
          <w:color w:val="auto"/>
        </w:rPr>
      </w:pPr>
      <w:r>
        <w:rPr>
          <w:rFonts w:hint="eastAsia" w:ascii="楷体_GB2312" w:hAnsi="仿宋_GB2312" w:eastAsia="楷体_GB2312" w:cs="Times New Roman"/>
          <w:b w:val="0"/>
          <w:bCs w:val="0"/>
          <w:color w:val="auto"/>
        </w:rPr>
        <w:t>（四）高频开展公共专项招聘行动。</w:t>
      </w:r>
      <w:r>
        <w:rPr>
          <w:rFonts w:hint="eastAsia" w:ascii="仿宋_GB2312" w:hAnsi="仿宋_GB2312" w:eastAsia="仿宋_GB2312" w:cs="Times New Roman"/>
          <w:color w:val="auto"/>
        </w:rPr>
        <w:t>构建高频次、多层级的公共就业服务专项招聘体系，统筹推进“百日千万招聘”“全国城市联合招聘”“金秋招聘月”“人力资源市场高校毕业生就业服务”等专项活动，打造公共就业服务专项招聘活动矩阵。同步拓展“直播带岗”新形态，运用人工智能、大数据等技术实现用户精准画像和岗位信息实时推送，提升线上招聘实效；线下聚焦精细化服务，策划开展“小而美、专而精”特色招聘活动，广泛动员各类专业人力资源服务机构参与，推动供需对接从“大水漫灌”向“精准滴灌”转变，全面提升就业服务的专业化、精细化、多元化水平。</w:t>
      </w:r>
    </w:p>
    <w:p w14:paraId="3F332B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olor w:val="auto"/>
        </w:rPr>
      </w:pPr>
      <w:r>
        <w:rPr>
          <w:rFonts w:hint="eastAsia" w:ascii="楷体_GB2312" w:hAnsi="仿宋_GB2312" w:eastAsia="楷体_GB2312"/>
          <w:b w:val="0"/>
          <w:bCs w:val="0"/>
          <w:color w:val="auto"/>
        </w:rPr>
        <w:t>（五）推进青年职业技能提升行动。</w:t>
      </w:r>
      <w:r>
        <w:rPr>
          <w:rFonts w:hint="eastAsia" w:ascii="仿宋_GB2312" w:hAnsi="仿宋_GB2312" w:eastAsia="仿宋_GB2312"/>
          <w:color w:val="auto"/>
        </w:rPr>
        <w:t>对有培训意愿的毕业年度高校毕业生开展职业技能培训，按规定落实职业培训补贴。聚焦数字经济、绿色经济、银发经济等领域，大力组织新业态、新模式、新职业等专项培训，帮助青年提升技能水平。常态化组织开展寒暑假“高校学子看家乡”活动，畅通青年学子与家乡“双向奔赴”联系沟通渠道。开展“就职指南针”职业指导特色活动和服务，提升公共就业服务机构职业指导水平，帮助毕业生做足就业准备。</w:t>
      </w:r>
    </w:p>
    <w:p w14:paraId="376C2EF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Cs w:val="32"/>
        </w:rPr>
      </w:pPr>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六</w:t>
      </w:r>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深化</w:t>
      </w:r>
      <w:bookmarkStart w:id="3" w:name="OLE_LINK6"/>
      <w:r>
        <w:rPr>
          <w:rFonts w:ascii="仿宋_GB2312" w:hAnsi="仿宋_GB2312" w:eastAsia="楷体_GB2312" w:cs="楷体_GB2312"/>
          <w:b w:val="0"/>
          <w:bCs w:val="0"/>
          <w:color w:val="auto"/>
          <w:szCs w:val="32"/>
        </w:rPr>
        <w:t>十万就业见习岗位</w:t>
      </w:r>
      <w:r>
        <w:rPr>
          <w:rFonts w:hint="eastAsia" w:ascii="仿宋_GB2312" w:hAnsi="仿宋_GB2312" w:eastAsia="楷体_GB2312" w:cs="楷体_GB2312"/>
          <w:b w:val="0"/>
          <w:bCs w:val="0"/>
          <w:color w:val="auto"/>
          <w:szCs w:val="32"/>
        </w:rPr>
        <w:t>募集</w:t>
      </w:r>
      <w:r>
        <w:rPr>
          <w:rFonts w:ascii="仿宋_GB2312" w:hAnsi="仿宋_GB2312" w:eastAsia="楷体_GB2312" w:cs="楷体_GB2312"/>
          <w:b w:val="0"/>
          <w:bCs w:val="0"/>
          <w:color w:val="auto"/>
          <w:szCs w:val="32"/>
        </w:rPr>
        <w:t>计划</w:t>
      </w:r>
      <w:r>
        <w:rPr>
          <w:rFonts w:hint="eastAsia" w:ascii="仿宋_GB2312" w:hAnsi="仿宋_GB2312" w:eastAsia="楷体_GB2312" w:cs="楷体_GB2312"/>
          <w:b w:val="0"/>
          <w:bCs w:val="0"/>
          <w:color w:val="auto"/>
          <w:szCs w:val="32"/>
        </w:rPr>
        <w:t>。</w:t>
      </w:r>
      <w:bookmarkEnd w:id="3"/>
      <w:r>
        <w:rPr>
          <w:rFonts w:hint="eastAsia" w:ascii="仿宋_GB2312" w:hAnsi="仿宋_GB2312" w:eastAsia="仿宋_GB2312" w:cs="Times New Roman"/>
          <w:color w:val="auto"/>
        </w:rPr>
        <w:t>在十万就业见习岗位募集计划基础上，再开发2万个增量见习岗位。</w:t>
      </w:r>
      <w:r>
        <w:rPr>
          <w:rFonts w:hint="eastAsia" w:ascii="仿宋_GB2312" w:hAnsi="仿宋_GB2312" w:eastAsia="仿宋_GB2312" w:cs="仿宋_GB2312"/>
          <w:color w:val="auto"/>
          <w:szCs w:val="32"/>
        </w:rPr>
        <w:t>重点面向龙头企业、科研院所等事业单位，开发更多科研类、技术类、管理类优质见习岗位，鼓励见习人员立足见习岗位参加职业技能评价取得相应职业技能等级证书，进一步提高职业能力。</w:t>
      </w:r>
    </w:p>
    <w:p w14:paraId="3AD428D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Cs w:val="32"/>
        </w:rPr>
      </w:pPr>
      <w:bookmarkStart w:id="4" w:name="OLE_LINK7"/>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七</w:t>
      </w:r>
      <w:r>
        <w:rPr>
          <w:rFonts w:ascii="仿宋_GB2312" w:hAnsi="仿宋_GB2312" w:eastAsia="楷体_GB2312" w:cs="楷体_GB2312"/>
          <w:b w:val="0"/>
          <w:bCs w:val="0"/>
          <w:color w:val="auto"/>
          <w:szCs w:val="32"/>
        </w:rPr>
        <w:t>）规范推进求职能力实训</w:t>
      </w:r>
      <w:r>
        <w:rPr>
          <w:rFonts w:hint="eastAsia" w:ascii="仿宋_GB2312" w:hAnsi="仿宋_GB2312" w:eastAsia="楷体_GB2312" w:cs="楷体_GB2312"/>
          <w:b w:val="0"/>
          <w:bCs w:val="0"/>
          <w:color w:val="auto"/>
          <w:szCs w:val="32"/>
        </w:rPr>
        <w:t>项目。</w:t>
      </w:r>
      <w:r>
        <w:rPr>
          <w:rFonts w:hint="eastAsia" w:ascii="仿宋_GB2312" w:hAnsi="仿宋_GB2312" w:eastAsia="仿宋_GB2312" w:cs="仿宋_GB2312"/>
          <w:color w:val="auto"/>
          <w:szCs w:val="32"/>
        </w:rPr>
        <w:t>重点面向离校未就业高校毕业生和失业青年，全面推开求职能力实训营，开展简历修改、面试技巧等课程教学，组织到企业参观学习、跟岗锻炼等体验活动，帮助青年提升求职能力。加强全省求职能力师资队伍建设，探索“师带徒”培养模式。各市学员班实施事前报备制度，师资配备由省厅统筹安排。鼓励各市优先组织学员示范班，规范教学标准和培训流程，稳步扩大实训规模，确保实训实效。</w:t>
      </w:r>
    </w:p>
    <w:bookmarkEnd w:id="4"/>
    <w:p w14:paraId="48ED407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Cs w:val="32"/>
        </w:rPr>
      </w:pPr>
      <w:r>
        <w:rPr>
          <w:rFonts w:ascii="仿宋_GB2312" w:hAnsi="仿宋_GB2312" w:eastAsia="楷体_GB2312" w:cs="楷体_GB2312"/>
          <w:b w:val="0"/>
          <w:bCs w:val="0"/>
          <w:color w:val="auto"/>
          <w:szCs w:val="32"/>
        </w:rPr>
        <w:t>（</w:t>
      </w:r>
      <w:r>
        <w:rPr>
          <w:rFonts w:hint="eastAsia" w:ascii="仿宋_GB2312" w:hAnsi="仿宋_GB2312" w:eastAsia="楷体_GB2312" w:cs="楷体_GB2312"/>
          <w:b w:val="0"/>
          <w:bCs w:val="0"/>
          <w:color w:val="auto"/>
          <w:szCs w:val="32"/>
        </w:rPr>
        <w:t>八</w:t>
      </w:r>
      <w:r>
        <w:rPr>
          <w:rFonts w:ascii="仿宋_GB2312" w:hAnsi="仿宋_GB2312" w:eastAsia="楷体_GB2312" w:cs="楷体_GB2312"/>
          <w:b w:val="0"/>
          <w:bCs w:val="0"/>
          <w:color w:val="auto"/>
          <w:szCs w:val="32"/>
        </w:rPr>
        <w:t>）精准实施困难毕业生就业帮扶</w:t>
      </w:r>
      <w:r>
        <w:rPr>
          <w:rFonts w:hint="eastAsia" w:ascii="仿宋_GB2312" w:hAnsi="仿宋_GB2312" w:eastAsia="楷体_GB2312" w:cs="楷体_GB2312"/>
          <w:b w:val="0"/>
          <w:bCs w:val="0"/>
          <w:color w:val="auto"/>
          <w:szCs w:val="32"/>
        </w:rPr>
        <w:t>。</w:t>
      </w:r>
      <w:r>
        <w:rPr>
          <w:rFonts w:hint="eastAsia" w:ascii="仿宋_GB2312" w:hAnsi="仿宋_GB2312" w:eastAsia="仿宋_GB2312" w:cs="仿宋_GB2312"/>
          <w:color w:val="auto"/>
          <w:szCs w:val="32"/>
        </w:rPr>
        <w:t>精准识别帮扶对象，将低保家庭、</w:t>
      </w:r>
      <w:r>
        <w:rPr>
          <w:rFonts w:hint="eastAsia" w:ascii="仿宋_GB2312" w:hAnsi="Times New Roman" w:eastAsia="仿宋_GB2312" w:cs="Times New Roman"/>
          <w:color w:val="auto"/>
          <w:szCs w:val="32"/>
        </w:rPr>
        <w:t>零就业家庭、防止返贫监测对象家庭以及残疾等困难毕业生</w:t>
      </w:r>
      <w:r>
        <w:rPr>
          <w:rFonts w:hint="eastAsia" w:ascii="仿宋_GB2312" w:hAnsi="仿宋_GB2312" w:eastAsia="仿宋_GB2312" w:cs="仿宋_GB2312"/>
          <w:color w:val="auto"/>
          <w:szCs w:val="32"/>
        </w:rPr>
        <w:t>纳入帮扶台账，制定“一人一策”帮扶计划，推进实施分层分类就业帮扶，组织党员干部、服务机构开展结对帮扶，针对其就业需求，优先推送高质量岗位信息，优先组织培训见习、优先提供职业指导。</w:t>
      </w:r>
      <w:r>
        <w:rPr>
          <w:rFonts w:hint="eastAsia" w:ascii="仿宋_GB2312" w:hAnsi="Times New Roman" w:eastAsia="仿宋_GB2312" w:cs="Times New Roman"/>
          <w:color w:val="auto"/>
          <w:szCs w:val="32"/>
        </w:rPr>
        <w:t>对通过市场化渠道确实难以实现就业的，各市要统筹运用公益性岗位予以安置。</w:t>
      </w:r>
    </w:p>
    <w:p w14:paraId="4213AF8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ascii="Times New Roman" w:hAnsi="Times New Roman" w:eastAsia="仿宋_GB2312" w:cs="Times New Roman"/>
          <w:color w:val="auto"/>
          <w:szCs w:val="32"/>
        </w:rPr>
      </w:pPr>
      <w:r>
        <w:rPr>
          <w:rFonts w:hint="eastAsia" w:ascii="仿宋_GB2312" w:hAnsi="仿宋_GB2312" w:eastAsia="楷体_GB2312" w:cs="楷体_GB2312"/>
          <w:b w:val="0"/>
          <w:bCs w:val="0"/>
          <w:color w:val="auto"/>
          <w:szCs w:val="32"/>
          <w:lang w:eastAsia="zh"/>
        </w:rPr>
        <w:t>（九）</w:t>
      </w:r>
      <w:r>
        <w:rPr>
          <w:rFonts w:hint="eastAsia" w:ascii="仿宋_GB2312" w:hAnsi="仿宋_GB2312" w:eastAsia="楷体_GB2312" w:cs="楷体_GB2312"/>
          <w:b w:val="0"/>
          <w:bCs w:val="0"/>
          <w:color w:val="auto"/>
          <w:szCs w:val="32"/>
        </w:rPr>
        <w:t>深入推进</w:t>
      </w:r>
      <w:r>
        <w:rPr>
          <w:rFonts w:ascii="仿宋_GB2312" w:hAnsi="仿宋_GB2312" w:eastAsia="楷体_GB2312" w:cs="楷体_GB2312"/>
          <w:b w:val="0"/>
          <w:bCs w:val="0"/>
          <w:color w:val="auto"/>
          <w:szCs w:val="32"/>
        </w:rPr>
        <w:t>青年就业启航计划</w:t>
      </w:r>
      <w:r>
        <w:rPr>
          <w:rFonts w:hint="eastAsia" w:ascii="仿宋_GB2312" w:hAnsi="仿宋_GB2312" w:eastAsia="楷体_GB2312" w:cs="楷体_GB2312"/>
          <w:b w:val="0"/>
          <w:bCs w:val="0"/>
          <w:color w:val="auto"/>
          <w:szCs w:val="32"/>
        </w:rPr>
        <w:t>。</w:t>
      </w:r>
      <w:bookmarkStart w:id="5" w:name="_Hlk202041467"/>
      <w:r>
        <w:rPr>
          <w:rFonts w:hint="eastAsia" w:ascii="仿宋_GB2312" w:eastAsia="仿宋_GB2312"/>
          <w:color w:val="auto"/>
          <w:szCs w:val="32"/>
        </w:rPr>
        <w:t>依托公共就业服务机构、</w:t>
      </w:r>
      <w:r>
        <w:rPr>
          <w:rFonts w:hint="eastAsia" w:ascii="仿宋_GB2312" w:eastAsia="仿宋_GB2312"/>
          <w:color w:val="auto"/>
          <w:szCs w:val="32"/>
          <w:lang w:eastAsia="zh"/>
        </w:rPr>
        <w:t>“数智就业”服务区、</w:t>
      </w:r>
      <w:r>
        <w:rPr>
          <w:rFonts w:hint="eastAsia" w:ascii="仿宋_GB2312" w:eastAsia="仿宋_GB2312"/>
          <w:color w:val="auto"/>
          <w:szCs w:val="32"/>
        </w:rPr>
        <w:t>社区就业驿站等，</w:t>
      </w:r>
      <w:r>
        <w:rPr>
          <w:rFonts w:hint="eastAsia" w:ascii="仿宋_GB2312" w:hAnsi="仿宋_GB2312" w:eastAsia="仿宋_GB2312" w:cs="仿宋_GB2312"/>
          <w:color w:val="auto"/>
          <w:szCs w:val="32"/>
        </w:rPr>
        <w:t>加强失业青年常态化帮扶，</w:t>
      </w:r>
      <w:bookmarkEnd w:id="5"/>
      <w:r>
        <w:rPr>
          <w:rFonts w:hint="eastAsia" w:ascii="仿宋_GB2312" w:hAnsi="Times New Roman" w:eastAsia="仿宋_GB2312" w:cs="Times New Roman"/>
          <w:color w:val="auto"/>
          <w:szCs w:val="32"/>
        </w:rPr>
        <w:t>主动提供岗位对接、</w:t>
      </w:r>
      <w:r>
        <w:rPr>
          <w:rFonts w:ascii="仿宋_GB2312" w:hAnsi="Times New Roman" w:eastAsia="仿宋_GB2312" w:cs="Times New Roman"/>
          <w:color w:val="auto"/>
          <w:szCs w:val="32"/>
        </w:rPr>
        <w:t>就业</w:t>
      </w:r>
      <w:r>
        <w:rPr>
          <w:rFonts w:hint="eastAsia" w:ascii="仿宋_GB2312" w:hAnsi="Times New Roman" w:eastAsia="仿宋_GB2312" w:cs="Times New Roman"/>
          <w:color w:val="auto"/>
          <w:szCs w:val="32"/>
        </w:rPr>
        <w:t>指导</w:t>
      </w:r>
      <w:r>
        <w:rPr>
          <w:rFonts w:ascii="仿宋_GB2312" w:hAnsi="Times New Roman" w:eastAsia="仿宋_GB2312" w:cs="Times New Roman"/>
          <w:color w:val="auto"/>
          <w:szCs w:val="32"/>
        </w:rPr>
        <w:t>、培训推介</w:t>
      </w:r>
      <w:r>
        <w:rPr>
          <w:rFonts w:hint="eastAsia" w:ascii="仿宋_GB2312" w:hAnsi="Times New Roman" w:eastAsia="仿宋_GB2312" w:cs="Times New Roman"/>
          <w:color w:val="auto"/>
          <w:szCs w:val="32"/>
        </w:rPr>
        <w:t>等服务，</w:t>
      </w:r>
      <w:r>
        <w:rPr>
          <w:rFonts w:ascii="仿宋_GB2312" w:hAnsi="Times New Roman" w:eastAsia="仿宋_GB2312" w:cs="Times New Roman"/>
          <w:color w:val="auto"/>
          <w:szCs w:val="32"/>
        </w:rPr>
        <w:t>积极组织参观企业、</w:t>
      </w:r>
      <w:r>
        <w:rPr>
          <w:rFonts w:hint="eastAsia" w:ascii="仿宋_GB2312" w:hAnsi="Times New Roman" w:eastAsia="仿宋_GB2312" w:cs="Times New Roman"/>
          <w:color w:val="auto"/>
          <w:szCs w:val="32"/>
        </w:rPr>
        <w:t>开展</w:t>
      </w:r>
      <w:r>
        <w:rPr>
          <w:rFonts w:ascii="仿宋_GB2312" w:hAnsi="Times New Roman" w:eastAsia="仿宋_GB2312" w:cs="Times New Roman"/>
          <w:color w:val="auto"/>
          <w:szCs w:val="32"/>
        </w:rPr>
        <w:t>就业沙龙等活动</w:t>
      </w:r>
      <w:r>
        <w:rPr>
          <w:rFonts w:hint="eastAsia" w:ascii="仿宋_GB2312" w:hAnsi="Times New Roman" w:eastAsia="仿宋_GB2312" w:cs="Times New Roman"/>
          <w:color w:val="auto"/>
          <w:szCs w:val="32"/>
        </w:rPr>
        <w:t>，引导他们走出家门</w:t>
      </w:r>
      <w:r>
        <w:rPr>
          <w:rFonts w:ascii="仿宋_GB2312" w:hAnsi="Times New Roman" w:eastAsia="仿宋_GB2312" w:cs="Times New Roman"/>
          <w:color w:val="auto"/>
          <w:szCs w:val="32"/>
        </w:rPr>
        <w:t>，激发就业内生动力。对求职受挫、信心不足的失业青年，组织专业力量开展求职会诊和心理疏导，帮助他们重树信心，积极理性求职。</w:t>
      </w:r>
    </w:p>
    <w:p w14:paraId="717B626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Cs w:val="32"/>
        </w:rPr>
      </w:pPr>
      <w:r>
        <w:rPr>
          <w:rFonts w:ascii="仿宋_GB2312" w:hAnsi="仿宋_GB2312" w:eastAsia="楷体_GB2312" w:cs="楷体_GB2312"/>
          <w:b w:val="0"/>
          <w:bCs w:val="0"/>
          <w:color w:val="auto"/>
          <w:szCs w:val="32"/>
        </w:rPr>
        <w:t>（十）扎实开展就业权益</w:t>
      </w:r>
      <w:r>
        <w:rPr>
          <w:rFonts w:hint="eastAsia" w:ascii="仿宋_GB2312" w:hAnsi="仿宋_GB2312" w:eastAsia="楷体_GB2312" w:cs="楷体_GB2312"/>
          <w:b w:val="0"/>
          <w:bCs w:val="0"/>
          <w:color w:val="auto"/>
          <w:szCs w:val="32"/>
        </w:rPr>
        <w:t>护航</w:t>
      </w:r>
      <w:r>
        <w:rPr>
          <w:rFonts w:ascii="仿宋_GB2312" w:hAnsi="仿宋_GB2312" w:eastAsia="楷体_GB2312" w:cs="楷体_GB2312"/>
          <w:b w:val="0"/>
          <w:bCs w:val="0"/>
          <w:color w:val="auto"/>
          <w:szCs w:val="32"/>
        </w:rPr>
        <w:t>行动</w:t>
      </w:r>
      <w:r>
        <w:rPr>
          <w:rFonts w:hint="eastAsia" w:ascii="仿宋_GB2312" w:hAnsi="仿宋_GB2312" w:eastAsia="楷体_GB2312" w:cs="楷体_GB2312"/>
          <w:b w:val="0"/>
          <w:bCs w:val="0"/>
          <w:color w:val="auto"/>
          <w:szCs w:val="32"/>
        </w:rPr>
        <w:t>。</w:t>
      </w:r>
      <w:r>
        <w:rPr>
          <w:rFonts w:hint="eastAsia" w:ascii="仿宋_GB2312" w:hAnsi="仿宋_GB2312" w:eastAsia="仿宋_GB2312" w:cs="Times New Roman"/>
          <w:color w:val="auto"/>
        </w:rPr>
        <w:t>加强人力资源市场秩序监管和执法力度，会同有关部门开展清理整顿人力资源市场秩序专项行动，规范用人单位招聘和人力资源服务机构职业中介活动。</w:t>
      </w:r>
      <w:r>
        <w:rPr>
          <w:rFonts w:ascii="仿宋_GB2312" w:hAnsi="Times New Roman" w:eastAsia="仿宋_GB2312" w:cs="Times New Roman"/>
          <w:color w:val="auto"/>
          <w:szCs w:val="32"/>
        </w:rPr>
        <w:t>从严纠治非法职介（网络）、就业歧视和</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招转培</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及</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培训贷</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等招聘欺诈行为，治理</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萝卜招聘</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付费内推</w:t>
      </w:r>
      <w:r>
        <w:rPr>
          <w:rFonts w:hint="eastAsia" w:ascii="仿宋_GB2312" w:hAnsi="Times New Roman" w:eastAsia="仿宋_GB2312" w:cs="Times New Roman"/>
          <w:color w:val="auto"/>
          <w:szCs w:val="32"/>
        </w:rPr>
        <w:t>”</w:t>
      </w:r>
      <w:r>
        <w:rPr>
          <w:rFonts w:ascii="仿宋_GB2312" w:hAnsi="Times New Roman" w:eastAsia="仿宋_GB2312" w:cs="Times New Roman"/>
          <w:color w:val="auto"/>
          <w:szCs w:val="32"/>
        </w:rPr>
        <w:t>等市场乱象。</w:t>
      </w:r>
      <w:r>
        <w:rPr>
          <w:rFonts w:hint="eastAsia" w:ascii="仿宋_GB2312" w:hAnsi="仿宋_GB2312" w:eastAsia="仿宋_GB2312" w:cs="Times New Roman"/>
          <w:color w:val="auto"/>
        </w:rPr>
        <w:t>加强就业安全教育，发布招聘求职陷阱提示，曝光典型案例，普及防电信诈骗知识，帮助高校毕业生等青年提升风险防范意识。</w:t>
      </w:r>
    </w:p>
    <w:p w14:paraId="658E124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Cs w:val="32"/>
        </w:rPr>
      </w:pPr>
      <w:r>
        <w:rPr>
          <w:rFonts w:ascii="仿宋_GB2312" w:hAnsi="仿宋_GB2312" w:eastAsia="楷体_GB2312" w:cs="楷体_GB2312"/>
          <w:b w:val="0"/>
          <w:bCs w:val="0"/>
          <w:color w:val="auto"/>
          <w:szCs w:val="32"/>
        </w:rPr>
        <w:t>（十</w:t>
      </w:r>
      <w:r>
        <w:rPr>
          <w:rFonts w:hint="eastAsia" w:ascii="仿宋_GB2312" w:hAnsi="仿宋_GB2312" w:eastAsia="楷体_GB2312" w:cs="楷体_GB2312"/>
          <w:b w:val="0"/>
          <w:bCs w:val="0"/>
          <w:color w:val="auto"/>
          <w:szCs w:val="32"/>
        </w:rPr>
        <w:t>一</w:t>
      </w:r>
      <w:r>
        <w:rPr>
          <w:rFonts w:ascii="仿宋_GB2312" w:hAnsi="仿宋_GB2312" w:eastAsia="楷体_GB2312" w:cs="楷体_GB2312"/>
          <w:b w:val="0"/>
          <w:bCs w:val="0"/>
          <w:color w:val="auto"/>
          <w:szCs w:val="32"/>
        </w:rPr>
        <w:t>）严格就业数据质量专项治理</w:t>
      </w:r>
      <w:r>
        <w:rPr>
          <w:rFonts w:hint="eastAsia" w:ascii="仿宋_GB2312" w:hAnsi="仿宋_GB2312" w:eastAsia="楷体_GB2312" w:cs="楷体_GB2312"/>
          <w:b w:val="0"/>
          <w:bCs w:val="0"/>
          <w:color w:val="auto"/>
          <w:szCs w:val="32"/>
        </w:rPr>
        <w:t>。</w:t>
      </w:r>
      <w:r>
        <w:rPr>
          <w:rFonts w:hint="eastAsia" w:ascii="仿宋_GB2312" w:hAnsi="仿宋_GB2312" w:eastAsia="仿宋_GB2312" w:cs="仿宋_GB2312"/>
          <w:color w:val="auto"/>
          <w:szCs w:val="32"/>
        </w:rPr>
        <w:t>建立离校未就业高校毕业生就业数据质量常态化核查机制，加强数据比对分析，定期开展抽查，杜绝任何形式的就业数据集中补录、虚报“注水”，对审计、巡视等各项检查中发现的问题再回头、再检视，做到边查边改、即知即改。对发现的违规行为，依规依纪严肃处理，防止就业数据失真和数字就业，坚决守牢数据质量的“生命线”。</w:t>
      </w:r>
    </w:p>
    <w:p w14:paraId="7CC6AE8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Times New Roman"/>
          <w:color w:val="auto"/>
        </w:rPr>
      </w:pPr>
      <w:r>
        <w:rPr>
          <w:rFonts w:ascii="仿宋_GB2312" w:hAnsi="仿宋_GB2312" w:eastAsia="楷体_GB2312" w:cs="楷体_GB2312"/>
          <w:b w:val="0"/>
          <w:bCs w:val="0"/>
          <w:color w:val="auto"/>
          <w:szCs w:val="32"/>
        </w:rPr>
        <w:t>（十</w:t>
      </w:r>
      <w:r>
        <w:rPr>
          <w:rFonts w:hint="eastAsia" w:ascii="仿宋_GB2312" w:hAnsi="仿宋_GB2312" w:eastAsia="楷体_GB2312" w:cs="楷体_GB2312"/>
          <w:b w:val="0"/>
          <w:bCs w:val="0"/>
          <w:color w:val="auto"/>
          <w:szCs w:val="32"/>
        </w:rPr>
        <w:t>二</w:t>
      </w:r>
      <w:r>
        <w:rPr>
          <w:rFonts w:ascii="仿宋_GB2312" w:hAnsi="仿宋_GB2312" w:eastAsia="楷体_GB2312" w:cs="楷体_GB2312"/>
          <w:b w:val="0"/>
          <w:bCs w:val="0"/>
          <w:color w:val="auto"/>
          <w:szCs w:val="32"/>
        </w:rPr>
        <w:t>）加强就业创业宣传引导工作</w:t>
      </w:r>
      <w:r>
        <w:rPr>
          <w:rFonts w:hint="eastAsia" w:ascii="仿宋_GB2312" w:hAnsi="仿宋_GB2312" w:eastAsia="楷体_GB2312" w:cs="楷体_GB2312"/>
          <w:b w:val="0"/>
          <w:bCs w:val="0"/>
          <w:color w:val="auto"/>
          <w:szCs w:val="32"/>
        </w:rPr>
        <w:t>。</w:t>
      </w:r>
      <w:r>
        <w:rPr>
          <w:rFonts w:hint="eastAsia" w:ascii="仿宋_GB2312" w:hAnsi="仿宋_GB2312" w:eastAsia="仿宋_GB2312" w:cs="仿宋_GB2312"/>
          <w:color w:val="auto"/>
          <w:szCs w:val="32"/>
        </w:rPr>
        <w:t>紧扣行动主题，强化青年就业典型引导，广泛宣传服务重大战略、投身生产一线、主动创业创新、扎根城乡基层的青年先进事迹，全方位展示新时代青年人就业创业的精神风貌，引导未就业毕业生从实际出发选择职业和工作岗位，多渠道实现就业创业、建功立业，营造“基层就业，同样出彩”的良好舆论氛围。</w:t>
      </w:r>
    </w:p>
    <w:bookmarkEnd w:id="1"/>
    <w:p w14:paraId="118DE76C">
      <w:pPr>
        <w:pStyle w:val="4"/>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color w:val="auto"/>
          <w:kern w:val="2"/>
          <w:sz w:val="32"/>
        </w:rPr>
      </w:pPr>
      <w:r>
        <w:rPr>
          <w:rFonts w:hint="eastAsia" w:ascii="仿宋_GB2312" w:hAnsi="仿宋_GB2312"/>
          <w:color w:val="auto"/>
          <w:kern w:val="2"/>
          <w:sz w:val="32"/>
          <w:lang w:eastAsia="zh"/>
        </w:rPr>
        <w:t>五</w:t>
      </w:r>
      <w:r>
        <w:rPr>
          <w:rFonts w:hint="eastAsia" w:ascii="仿宋_GB2312" w:hAnsi="仿宋_GB2312"/>
          <w:color w:val="auto"/>
          <w:kern w:val="2"/>
          <w:sz w:val="32"/>
        </w:rPr>
        <w:t>、工作要求</w:t>
      </w:r>
    </w:p>
    <w:p w14:paraId="1BDFC13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Times New Roman"/>
          <w:color w:val="auto"/>
        </w:rPr>
      </w:pPr>
      <w:r>
        <w:rPr>
          <w:rFonts w:hint="eastAsia" w:ascii="仿宋_GB2312" w:hAnsi="仿宋_GB2312" w:eastAsia="仿宋_GB2312" w:cs="Times New Roman"/>
          <w:color w:val="auto"/>
        </w:rPr>
        <w:t>各市要将2025年高校毕业生等青年就业服务攻坚行动作为做好当前就业工作</w:t>
      </w:r>
      <w:r>
        <w:rPr>
          <w:rFonts w:ascii="仿宋_GB2312" w:hAnsi="仿宋_GB2312" w:eastAsia="仿宋_GB2312" w:cs="Times New Roman"/>
          <w:color w:val="auto"/>
        </w:rPr>
        <w:t>的</w:t>
      </w:r>
      <w:r>
        <w:rPr>
          <w:rFonts w:hint="eastAsia" w:ascii="仿宋_GB2312" w:hAnsi="仿宋_GB2312" w:eastAsia="仿宋_GB2312" w:cs="Times New Roman"/>
          <w:color w:val="auto"/>
        </w:rPr>
        <w:t>重要抓手，</w:t>
      </w:r>
      <w:r>
        <w:rPr>
          <w:rFonts w:hint="eastAsia" w:ascii="仿宋_GB2312" w:hAnsi="仿宋_GB2312" w:eastAsia="仿宋_GB2312" w:cs="楷体_GB2312"/>
          <w:color w:val="auto"/>
        </w:rPr>
        <w:t>落实属地责任，</w:t>
      </w:r>
      <w:r>
        <w:rPr>
          <w:rFonts w:hint="eastAsia" w:ascii="仿宋_GB2312" w:hAnsi="仿宋_GB2312" w:eastAsia="仿宋_GB2312" w:cs="Times New Roman"/>
          <w:color w:val="auto"/>
        </w:rPr>
        <w:t>精心组织实施，制定具体方案，细化工作内容，明确责任分工</w:t>
      </w:r>
      <w:r>
        <w:rPr>
          <w:rFonts w:hint="eastAsia" w:ascii="仿宋_GB2312" w:hAnsi="仿宋_GB2312" w:eastAsia="仿宋_GB2312" w:cs="楷体_GB2312"/>
          <w:color w:val="auto"/>
        </w:rPr>
        <w:t>。</w:t>
      </w:r>
      <w:r>
        <w:rPr>
          <w:rFonts w:hint="eastAsia" w:ascii="仿宋_GB2312" w:hAnsi="仿宋_GB2312" w:eastAsia="仿宋_GB2312" w:cs="Times New Roman"/>
          <w:color w:val="auto"/>
        </w:rPr>
        <w:t>要主动联系有关部门，加强协调配合，聚合政策服务资源，并充分调动市场机构和行业协会参与积极性。要按照“谁主办、谁负责”的原则，严格落实安全生产主体责任，确保行动期间各项活动安全有序开展。</w:t>
      </w:r>
    </w:p>
    <w:p w14:paraId="2B783455">
      <w:pPr>
        <w:pStyle w:val="4"/>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Times New Roman"/>
          <w:color w:val="auto"/>
          <w:kern w:val="2"/>
          <w:sz w:val="32"/>
          <w:lang w:eastAsia="zh"/>
        </w:rPr>
      </w:pPr>
      <w:r>
        <w:rPr>
          <w:rFonts w:hint="eastAsia" w:ascii="仿宋_GB2312" w:hAnsi="仿宋_GB2312" w:eastAsia="仿宋_GB2312" w:cs="Times New Roman"/>
          <w:color w:val="auto"/>
          <w:kern w:val="2"/>
          <w:sz w:val="32"/>
          <w:lang w:eastAsia="zh"/>
        </w:rPr>
        <w:t>省人力资源社会保障厅</w:t>
      </w:r>
      <w:r>
        <w:rPr>
          <w:rFonts w:hint="eastAsia" w:ascii="仿宋_GB2312" w:hAnsi="仿宋_GB2312" w:eastAsia="仿宋_GB2312" w:cs="Times New Roman"/>
          <w:color w:val="auto"/>
          <w:kern w:val="2"/>
          <w:sz w:val="32"/>
        </w:rPr>
        <w:t>就业促进处联系人：</w:t>
      </w:r>
      <w:r>
        <w:rPr>
          <w:rFonts w:hint="eastAsia" w:ascii="仿宋_GB2312" w:hAnsi="仿宋_GB2312" w:eastAsia="仿宋_GB2312" w:cs="Times New Roman"/>
          <w:color w:val="auto"/>
          <w:kern w:val="2"/>
          <w:sz w:val="32"/>
          <w:lang w:eastAsia="zh"/>
        </w:rPr>
        <w:t>杨高扬，0531—51788116；</w:t>
      </w:r>
    </w:p>
    <w:p w14:paraId="0B8A49F5">
      <w:pPr>
        <w:pStyle w:val="4"/>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Times New Roman"/>
          <w:color w:val="auto"/>
          <w:kern w:val="2"/>
          <w:sz w:val="32"/>
          <w:lang w:eastAsia="zh"/>
        </w:rPr>
      </w:pPr>
      <w:r>
        <w:rPr>
          <w:rFonts w:hint="eastAsia" w:ascii="仿宋_GB2312" w:hAnsi="仿宋_GB2312" w:eastAsia="仿宋_GB2312" w:cs="Times New Roman"/>
          <w:color w:val="auto"/>
          <w:kern w:val="2"/>
          <w:sz w:val="32"/>
        </w:rPr>
        <w:t>省公共就业和人才服务中心联系人：刘容秀</w:t>
      </w:r>
      <w:r>
        <w:rPr>
          <w:rFonts w:hint="eastAsia" w:ascii="仿宋_GB2312" w:hAnsi="仿宋_GB2312" w:eastAsia="仿宋_GB2312" w:cs="Times New Roman"/>
          <w:color w:val="auto"/>
          <w:kern w:val="2"/>
          <w:sz w:val="32"/>
          <w:lang w:eastAsia="zh"/>
        </w:rPr>
        <w:t>，</w:t>
      </w:r>
      <w:r>
        <w:rPr>
          <w:rFonts w:hint="eastAsia" w:ascii="仿宋_GB2312" w:hAnsi="仿宋_GB2312" w:eastAsia="仿宋_GB2312" w:cs="Times New Roman"/>
          <w:color w:val="auto"/>
          <w:kern w:val="2"/>
          <w:sz w:val="32"/>
        </w:rPr>
        <w:t>0531</w:t>
      </w:r>
      <w:r>
        <w:rPr>
          <w:rFonts w:hint="eastAsia" w:ascii="仿宋_GB2312" w:hAnsi="仿宋_GB2312" w:eastAsia="仿宋_GB2312" w:cs="Times New Roman"/>
          <w:color w:val="auto"/>
          <w:kern w:val="2"/>
          <w:sz w:val="32"/>
          <w:lang w:eastAsia="zh"/>
        </w:rPr>
        <w:t>—</w:t>
      </w:r>
      <w:r>
        <w:rPr>
          <w:rFonts w:hint="eastAsia" w:ascii="仿宋_GB2312" w:hAnsi="仿宋_GB2312" w:eastAsia="仿宋_GB2312" w:cs="Times New Roman"/>
          <w:color w:val="auto"/>
          <w:kern w:val="2"/>
          <w:sz w:val="32"/>
        </w:rPr>
        <w:t>51788616</w:t>
      </w:r>
      <w:r>
        <w:rPr>
          <w:rFonts w:hint="eastAsia" w:ascii="仿宋_GB2312" w:hAnsi="仿宋_GB2312" w:eastAsia="仿宋_GB2312" w:cs="Times New Roman"/>
          <w:color w:val="auto"/>
          <w:kern w:val="2"/>
          <w:sz w:val="32"/>
          <w:lang w:eastAsia="zh"/>
        </w:rPr>
        <w:t>。</w:t>
      </w:r>
    </w:p>
    <w:p w14:paraId="7376115E">
      <w:pPr>
        <w:pStyle w:val="4"/>
        <w:keepNext w:val="0"/>
        <w:keepLines w:val="0"/>
        <w:pageBreakBefore w:val="0"/>
        <w:widowControl w:val="0"/>
        <w:kinsoku/>
        <w:wordWrap/>
        <w:overflowPunct/>
        <w:topLinePunct w:val="0"/>
        <w:autoSpaceDE/>
        <w:autoSpaceDN/>
        <w:bidi w:val="0"/>
        <w:adjustRightInd/>
        <w:snapToGrid/>
        <w:spacing w:line="560" w:lineRule="exact"/>
        <w:ind w:left="1896" w:leftChars="200" w:hanging="1264" w:hangingChars="400"/>
        <w:jc w:val="both"/>
        <w:textAlignment w:val="auto"/>
        <w:rPr>
          <w:rFonts w:hint="eastAsia" w:ascii="仿宋_GB2312" w:hAnsi="仿宋_GB2312" w:eastAsia="仿宋_GB2312" w:cs="仿宋_GB2312"/>
          <w:color w:val="auto"/>
          <w:kern w:val="2"/>
          <w:sz w:val="32"/>
        </w:rPr>
      </w:pPr>
    </w:p>
    <w:p w14:paraId="1EC9791C">
      <w:pPr>
        <w:pStyle w:val="4"/>
        <w:keepNext w:val="0"/>
        <w:keepLines w:val="0"/>
        <w:pageBreakBefore w:val="0"/>
        <w:widowControl w:val="0"/>
        <w:kinsoku/>
        <w:wordWrap/>
        <w:overflowPunct/>
        <w:topLinePunct w:val="0"/>
        <w:autoSpaceDE/>
        <w:autoSpaceDN/>
        <w:bidi w:val="0"/>
        <w:adjustRightInd/>
        <w:snapToGrid/>
        <w:spacing w:line="560" w:lineRule="exact"/>
        <w:ind w:left="1580" w:leftChars="200" w:hanging="948" w:hangingChars="300"/>
        <w:jc w:val="both"/>
        <w:textAlignment w:val="auto"/>
        <w:rPr>
          <w:rFonts w:hint="eastAsia" w:ascii="仿宋_GB2312" w:hAnsi="仿宋_GB2312" w:eastAsia="仿宋_GB2312" w:cs="仿宋_GB2312"/>
          <w:color w:val="auto"/>
          <w:kern w:val="2"/>
          <w:sz w:val="32"/>
        </w:rPr>
      </w:pPr>
      <w:r>
        <w:rPr>
          <w:rFonts w:hint="eastAsia" w:ascii="仿宋_GB2312" w:hAnsi="仿宋_GB2312" w:eastAsia="仿宋_GB2312" w:cs="仿宋_GB2312"/>
          <w:color w:val="auto"/>
          <w:kern w:val="2"/>
          <w:sz w:val="32"/>
        </w:rPr>
        <w:t>附件：</w:t>
      </w:r>
      <w:r>
        <w:rPr>
          <w:rFonts w:hint="eastAsia" w:ascii="仿宋_GB2312" w:hAnsi="仿宋_GB2312" w:eastAsia="仿宋_GB2312" w:cs="仿宋_GB2312"/>
          <w:color w:val="auto"/>
          <w:spacing w:val="-4"/>
          <w:kern w:val="2"/>
          <w:sz w:val="32"/>
        </w:rPr>
        <w:t>逐梦齐鲁</w:t>
      </w:r>
      <w:r>
        <w:rPr>
          <w:rFonts w:hint="eastAsia" w:ascii="仿宋_GB2312" w:hAnsi="仿宋_GB2312" w:eastAsia="仿宋_GB2312" w:cs="仿宋_GB2312"/>
          <w:color w:val="auto"/>
          <w:spacing w:val="-4"/>
          <w:kern w:val="2"/>
          <w:sz w:val="32"/>
          <w:lang w:eastAsia="zh"/>
        </w:rPr>
        <w:t xml:space="preserve"> </w:t>
      </w:r>
      <w:r>
        <w:rPr>
          <w:rFonts w:hint="eastAsia" w:ascii="仿宋_GB2312" w:hAnsi="仿宋_GB2312" w:eastAsia="仿宋_GB2312" w:cs="仿宋_GB2312"/>
          <w:color w:val="auto"/>
          <w:spacing w:val="-4"/>
          <w:kern w:val="2"/>
          <w:sz w:val="32"/>
        </w:rPr>
        <w:t>不负韶华——致2025届高校毕业生的一封信</w:t>
      </w:r>
    </w:p>
    <w:p w14:paraId="5D323F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Times New Roman"/>
          <w:color w:val="auto"/>
        </w:rPr>
      </w:pPr>
    </w:p>
    <w:p w14:paraId="3FB7ECA1">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color w:val="auto"/>
        </w:rPr>
      </w:pPr>
    </w:p>
    <w:p w14:paraId="0B3C794E">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hint="eastAsia" w:ascii="仿宋_GB2312" w:hAnsi="仿宋_GB2312" w:eastAsia="仿宋_GB2312" w:cs="Times New Roman"/>
          <w:color w:val="auto"/>
        </w:rPr>
      </w:pPr>
      <w:r>
        <w:rPr>
          <w:rFonts w:hint="eastAsia" w:ascii="仿宋_GB2312" w:hAnsi="仿宋_GB2312" w:eastAsia="仿宋_GB2312" w:cs="Times New Roman"/>
          <w:color w:val="auto"/>
        </w:rPr>
        <w:t>山东省人力资源和社会保障厅</w:t>
      </w:r>
    </w:p>
    <w:p w14:paraId="35321619">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2025年7月</w:t>
      </w:r>
      <w:r>
        <w:rPr>
          <w:rFonts w:hint="eastAsia" w:ascii="仿宋_GB2312" w:hAnsi="仿宋_GB2312" w:eastAsia="仿宋_GB2312" w:cs="仿宋_GB2312"/>
          <w:color w:val="auto"/>
          <w:lang w:val="en-US" w:eastAsia="zh-CN"/>
        </w:rPr>
        <w:t>12</w:t>
      </w:r>
      <w:r>
        <w:rPr>
          <w:rFonts w:hint="eastAsia" w:ascii="仿宋_GB2312" w:hAnsi="仿宋_GB2312" w:eastAsia="仿宋_GB2312" w:cs="仿宋_GB2312"/>
          <w:color w:val="auto"/>
        </w:rPr>
        <w:t>日</w:t>
      </w:r>
    </w:p>
    <w:p w14:paraId="5251B56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rPr>
      </w:pPr>
      <w:r>
        <w:rPr>
          <w:rFonts w:ascii="仿宋_GB2312" w:hAnsi="仿宋_GB2312" w:eastAsia="仿宋_GB2312" w:cs="仿宋_GB2312"/>
          <w:color w:val="auto"/>
        </w:rPr>
        <w:t>（此件主动公开）</w:t>
      </w:r>
    </w:p>
    <w:p w14:paraId="3251EDFB">
      <w:pPr>
        <w:pStyle w:val="4"/>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kern w:val="2"/>
          <w:sz w:val="32"/>
        </w:rPr>
      </w:pPr>
      <w:r>
        <w:rPr>
          <w:rFonts w:ascii="仿宋_GB2312" w:hAnsi="仿宋_GB2312" w:eastAsia="仿宋_GB2312" w:cs="仿宋_GB2312"/>
          <w:color w:val="auto"/>
          <w:kern w:val="2"/>
          <w:sz w:val="32"/>
        </w:rPr>
        <w:t>（联系单位：省公共就业和人才服务中心就业服务处）</w:t>
      </w:r>
    </w:p>
    <w:p w14:paraId="26C1DD8A">
      <w:pPr>
        <w:pStyle w:val="4"/>
        <w:spacing w:line="580" w:lineRule="exact"/>
        <w:ind w:firstLine="632" w:firstLineChars="200"/>
        <w:jc w:val="both"/>
        <w:rPr>
          <w:rFonts w:hint="eastAsia" w:ascii="仿宋_GB2312" w:hAnsi="仿宋_GB2312" w:eastAsia="仿宋_GB2312" w:cs="仿宋_GB2312"/>
          <w:color w:val="auto"/>
          <w:sz w:val="32"/>
        </w:rPr>
      </w:pPr>
    </w:p>
    <w:p w14:paraId="187C70F5">
      <w:pP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br w:type="page"/>
      </w:r>
    </w:p>
    <w:p w14:paraId="70D55E71">
      <w:pPr>
        <w:pStyle w:val="4"/>
        <w:keepNext w:val="0"/>
        <w:keepLines w:val="0"/>
        <w:pageBreakBefore w:val="0"/>
        <w:widowControl w:val="0"/>
        <w:kinsoku/>
        <w:wordWrap/>
        <w:overflowPunct/>
        <w:topLinePunct w:val="0"/>
        <w:bidi w:val="0"/>
        <w:adjustRightInd/>
        <w:snapToGrid/>
        <w:spacing w:line="586" w:lineRule="exact"/>
        <w:jc w:val="both"/>
        <w:textAlignment w:val="auto"/>
        <w:rPr>
          <w:rFonts w:hint="eastAsia" w:ascii="仿宋_GB2312" w:hAnsi="仿宋_GB2312" w:eastAsia="仿宋_GB2312" w:cs="仿宋_GB2312"/>
          <w:color w:val="auto"/>
          <w:sz w:val="32"/>
        </w:rPr>
      </w:pPr>
      <w:r>
        <w:rPr>
          <w:rFonts w:hint="eastAsia" w:hAnsi="黑体"/>
          <w:color w:val="auto"/>
          <w:sz w:val="32"/>
        </w:rPr>
        <w:t>附件</w:t>
      </w:r>
    </w:p>
    <w:p w14:paraId="7693118E">
      <w:pPr>
        <w:keepNext w:val="0"/>
        <w:keepLines w:val="0"/>
        <w:pageBreakBefore w:val="0"/>
        <w:widowControl w:val="0"/>
        <w:kinsoku/>
        <w:wordWrap/>
        <w:overflowPunct/>
        <w:topLinePunct w:val="0"/>
        <w:bidi w:val="0"/>
        <w:adjustRightInd/>
        <w:snapToGrid/>
        <w:spacing w:line="586" w:lineRule="exact"/>
        <w:textAlignment w:val="auto"/>
        <w:rPr>
          <w:rFonts w:hint="eastAsia" w:ascii="方正小标宋简体" w:hAnsi="黑体" w:eastAsia="方正小标宋简体" w:cs="黑体"/>
          <w:color w:val="auto"/>
          <w:sz w:val="44"/>
          <w:szCs w:val="44"/>
        </w:rPr>
      </w:pPr>
    </w:p>
    <w:p w14:paraId="31FCD49A">
      <w:pPr>
        <w:keepNext w:val="0"/>
        <w:keepLines w:val="0"/>
        <w:pageBreakBefore w:val="0"/>
        <w:widowControl w:val="0"/>
        <w:kinsoku/>
        <w:wordWrap/>
        <w:overflowPunct/>
        <w:topLinePunct w:val="0"/>
        <w:bidi w:val="0"/>
        <w:adjustRightInd/>
        <w:snapToGrid/>
        <w:spacing w:line="586" w:lineRule="exact"/>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逐梦齐鲁  不负韶华</w:t>
      </w:r>
    </w:p>
    <w:p w14:paraId="7515887C">
      <w:pPr>
        <w:keepNext w:val="0"/>
        <w:keepLines w:val="0"/>
        <w:pageBreakBefore w:val="0"/>
        <w:widowControl w:val="0"/>
        <w:kinsoku/>
        <w:wordWrap/>
        <w:overflowPunct/>
        <w:topLinePunct w:val="0"/>
        <w:bidi w:val="0"/>
        <w:adjustRightInd/>
        <w:snapToGrid/>
        <w:spacing w:line="586" w:lineRule="exact"/>
        <w:jc w:val="center"/>
        <w:textAlignment w:val="auto"/>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rPr>
        <w:t>——致2025届高校毕业生的一封信</w:t>
      </w:r>
    </w:p>
    <w:p w14:paraId="7B5B824C">
      <w:pPr>
        <w:pStyle w:val="4"/>
        <w:keepNext w:val="0"/>
        <w:keepLines w:val="0"/>
        <w:pageBreakBefore w:val="0"/>
        <w:widowControl w:val="0"/>
        <w:kinsoku/>
        <w:wordWrap/>
        <w:overflowPunct/>
        <w:topLinePunct w:val="0"/>
        <w:bidi w:val="0"/>
        <w:adjustRightInd/>
        <w:snapToGrid/>
        <w:spacing w:line="586" w:lineRule="exact"/>
        <w:jc w:val="both"/>
        <w:textAlignment w:val="auto"/>
        <w:rPr>
          <w:rFonts w:hint="eastAsia" w:ascii="仿宋_GB2312" w:hAnsi="仿宋_GB2312" w:eastAsia="仿宋_GB2312" w:cs="仿宋_GB2312"/>
          <w:color w:val="auto"/>
          <w:sz w:val="32"/>
          <w:szCs w:val="32"/>
        </w:rPr>
      </w:pPr>
    </w:p>
    <w:p w14:paraId="51ACE28E">
      <w:pPr>
        <w:pStyle w:val="4"/>
        <w:keepNext w:val="0"/>
        <w:keepLines w:val="0"/>
        <w:pageBreakBefore w:val="0"/>
        <w:widowControl w:val="0"/>
        <w:kinsoku/>
        <w:wordWrap/>
        <w:overflowPunct/>
        <w:topLinePunct w:val="0"/>
        <w:bidi w:val="0"/>
        <w:adjustRightInd/>
        <w:snapToGrid/>
        <w:spacing w:line="586" w:lineRule="exact"/>
        <w:jc w:val="both"/>
        <w:textAlignment w:val="auto"/>
        <w:rPr>
          <w:rFonts w:hint="eastAsia" w:ascii="仿宋_GB2312" w:hAnsi="仿宋_GB2312" w:eastAsia="仿宋_GB2312" w:cs="仿宋_GB2312"/>
          <w:color w:val="auto"/>
          <w:kern w:val="2"/>
          <w:sz w:val="32"/>
          <w:szCs w:val="32"/>
        </w:rPr>
      </w:pPr>
      <w:bookmarkStart w:id="6" w:name="OLE_LINK8"/>
      <w:r>
        <w:rPr>
          <w:rFonts w:hint="eastAsia" w:ascii="仿宋_GB2312" w:hAnsi="仿宋_GB2312" w:eastAsia="仿宋_GB2312" w:cs="仿宋_GB2312"/>
          <w:color w:val="auto"/>
          <w:kern w:val="2"/>
          <w:sz w:val="32"/>
          <w:szCs w:val="32"/>
        </w:rPr>
        <w:t>亲爱的2025届毕业生们：</w:t>
      </w:r>
    </w:p>
    <w:p w14:paraId="2AA024E3">
      <w:pPr>
        <w:pStyle w:val="4"/>
        <w:keepNext w:val="0"/>
        <w:keepLines w:val="0"/>
        <w:pageBreakBefore w:val="0"/>
        <w:widowControl w:val="0"/>
        <w:kinsoku/>
        <w:wordWrap/>
        <w:overflowPunct/>
        <w:topLinePunct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color w:val="auto"/>
          <w:sz w:val="32"/>
          <w:szCs w:val="32"/>
        </w:rPr>
        <w:t>盛夏蝉鸣起，青春远航时。你们即将告别校园，踏上人生新的征程。</w:t>
      </w:r>
      <w:r>
        <w:rPr>
          <w:rFonts w:hint="eastAsia" w:ascii="仿宋_GB2312" w:hAnsi="仿宋_GB2312" w:eastAsia="仿宋_GB2312" w:cs="Times New Roman"/>
          <w:color w:val="auto"/>
          <w:sz w:val="32"/>
          <w:szCs w:val="32"/>
        </w:rPr>
        <w:t>在此，向你们致以最诚挚的祝贺和最美好的祝愿！衷心希望你们能积极求职创业，在齐鲁大地上</w:t>
      </w:r>
      <w:r>
        <w:rPr>
          <w:rFonts w:ascii="仿宋_GB2312" w:hAnsi="仿宋_GB2312" w:eastAsia="仿宋_GB2312" w:cs="Times New Roman"/>
          <w:color w:val="auto"/>
          <w:sz w:val="32"/>
          <w:szCs w:val="32"/>
        </w:rPr>
        <w:t>绽放青春光彩，实现人生价值！</w:t>
      </w:r>
      <w:r>
        <w:rPr>
          <w:rFonts w:hint="eastAsia" w:ascii="仿宋_GB2312" w:hAnsi="仿宋_GB2312" w:eastAsia="仿宋_GB2312" w:cs="Times New Roman"/>
          <w:color w:val="auto"/>
          <w:sz w:val="32"/>
          <w:szCs w:val="32"/>
        </w:rPr>
        <w:t xml:space="preserve">山东省人力资源和社会保障厅将会同各方，聚焦你们所思所忧所盼，不断强化政策落实，尽心竭力提供不断线的暖心服务，为你们一路保驾护航！ </w:t>
      </w:r>
    </w:p>
    <w:p w14:paraId="45FF5D0C">
      <w:pPr>
        <w:pStyle w:val="4"/>
        <w:keepNext w:val="0"/>
        <w:keepLines w:val="0"/>
        <w:pageBreakBefore w:val="0"/>
        <w:widowControl w:val="0"/>
        <w:kinsoku/>
        <w:wordWrap/>
        <w:overflowPunct/>
        <w:topLinePunct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b/>
          <w:bCs/>
          <w:color w:val="auto"/>
          <w:sz w:val="32"/>
          <w:szCs w:val="32"/>
        </w:rPr>
        <w:t>—— 如果你已</w:t>
      </w:r>
      <w:r>
        <w:rPr>
          <w:rFonts w:hint="eastAsia" w:ascii="仿宋_GB2312" w:hAnsi="仿宋_GB2312" w:eastAsia="仿宋_GB2312" w:cs="Times New Roman"/>
          <w:b/>
          <w:bCs/>
          <w:color w:val="auto"/>
          <w:sz w:val="32"/>
          <w:szCs w:val="32"/>
        </w:rPr>
        <w:t>实现就业，</w:t>
      </w:r>
      <w:r>
        <w:rPr>
          <w:rFonts w:ascii="仿宋_GB2312" w:hAnsi="仿宋_GB2312" w:eastAsia="仿宋_GB2312" w:cs="Times New Roman"/>
          <w:color w:val="auto"/>
          <w:sz w:val="32"/>
          <w:szCs w:val="32"/>
        </w:rPr>
        <w:t>请</w:t>
      </w:r>
      <w:r>
        <w:rPr>
          <w:rFonts w:hint="eastAsia" w:ascii="仿宋_GB2312" w:hAnsi="仿宋_GB2312" w:eastAsia="仿宋_GB2312" w:cs="Times New Roman"/>
          <w:color w:val="auto"/>
          <w:sz w:val="32"/>
          <w:szCs w:val="32"/>
        </w:rPr>
        <w:t>及时</w:t>
      </w:r>
      <w:r>
        <w:rPr>
          <w:rFonts w:ascii="仿宋_GB2312" w:hAnsi="仿宋_GB2312" w:eastAsia="仿宋_GB2312" w:cs="Times New Roman"/>
          <w:color w:val="auto"/>
          <w:sz w:val="32"/>
          <w:szCs w:val="32"/>
        </w:rPr>
        <w:t>与用人单位签订劳动合同，</w:t>
      </w:r>
      <w:r>
        <w:rPr>
          <w:rFonts w:hint="eastAsia" w:ascii="仿宋_GB2312" w:hAnsi="仿宋_GB2312" w:eastAsia="仿宋_GB2312" w:cs="Times New Roman"/>
          <w:color w:val="auto"/>
          <w:sz w:val="32"/>
          <w:szCs w:val="32"/>
        </w:rPr>
        <w:t>关注</w:t>
      </w:r>
      <w:r>
        <w:rPr>
          <w:rFonts w:ascii="仿宋_GB2312" w:hAnsi="仿宋_GB2312" w:eastAsia="仿宋_GB2312" w:cs="Times New Roman"/>
          <w:color w:val="auto"/>
          <w:sz w:val="32"/>
          <w:szCs w:val="32"/>
        </w:rPr>
        <w:t>社会保险缴纳进度，确认档案转递去向，</w:t>
      </w:r>
      <w:r>
        <w:rPr>
          <w:rFonts w:hint="eastAsia" w:ascii="仿宋_GB2312" w:hAnsi="仿宋_GB2312" w:eastAsia="仿宋_GB2312" w:cs="Times New Roman"/>
          <w:color w:val="auto"/>
          <w:sz w:val="32"/>
          <w:szCs w:val="32"/>
        </w:rPr>
        <w:t>并</w:t>
      </w:r>
      <w:r>
        <w:rPr>
          <w:rFonts w:ascii="仿宋_GB2312" w:hAnsi="仿宋_GB2312" w:eastAsia="仿宋_GB2312" w:cs="Times New Roman"/>
          <w:color w:val="auto"/>
          <w:sz w:val="32"/>
          <w:szCs w:val="32"/>
        </w:rPr>
        <w:t>在规定时间内</w:t>
      </w:r>
      <w:r>
        <w:rPr>
          <w:rFonts w:hint="eastAsia" w:ascii="仿宋_GB2312" w:hAnsi="仿宋_GB2312" w:eastAsia="仿宋_GB2312" w:cs="Times New Roman"/>
          <w:color w:val="auto"/>
          <w:sz w:val="32"/>
          <w:szCs w:val="32"/>
        </w:rPr>
        <w:t>办理</w:t>
      </w:r>
      <w:r>
        <w:rPr>
          <w:rFonts w:ascii="仿宋_GB2312" w:hAnsi="仿宋_GB2312" w:eastAsia="仿宋_GB2312" w:cs="Times New Roman"/>
          <w:color w:val="auto"/>
          <w:sz w:val="32"/>
          <w:szCs w:val="32"/>
        </w:rPr>
        <w:t>户口迁移、党团组织关系接转等事项</w:t>
      </w:r>
      <w:r>
        <w:rPr>
          <w:rFonts w:hint="eastAsia" w:ascii="仿宋_GB2312" w:hAnsi="仿宋_GB2312" w:eastAsia="仿宋_GB2312" w:cs="Times New Roman"/>
          <w:color w:val="auto"/>
          <w:sz w:val="32"/>
          <w:szCs w:val="32"/>
        </w:rPr>
        <w:t>。如果你选择灵活就业，</w:t>
      </w:r>
      <w:r>
        <w:rPr>
          <w:rFonts w:ascii="仿宋_GB2312" w:hAnsi="仿宋_GB2312" w:eastAsia="仿宋_GB2312" w:cs="Times New Roman"/>
          <w:color w:val="auto"/>
          <w:sz w:val="32"/>
          <w:szCs w:val="32"/>
        </w:rPr>
        <w:t>可</w:t>
      </w:r>
      <w:r>
        <w:rPr>
          <w:rFonts w:hint="eastAsia" w:ascii="仿宋_GB2312" w:hAnsi="仿宋_GB2312" w:eastAsia="仿宋_GB2312" w:cs="Times New Roman"/>
          <w:color w:val="auto"/>
          <w:sz w:val="32"/>
          <w:szCs w:val="32"/>
        </w:rPr>
        <w:t>以</w:t>
      </w:r>
      <w:r>
        <w:rPr>
          <w:rFonts w:ascii="仿宋_GB2312" w:hAnsi="仿宋_GB2312" w:eastAsia="仿宋_GB2312" w:cs="Times New Roman"/>
          <w:color w:val="auto"/>
          <w:sz w:val="32"/>
          <w:szCs w:val="32"/>
        </w:rPr>
        <w:t>按照灵活就业人员身份参加社会保险，申请</w:t>
      </w:r>
      <w:r>
        <w:rPr>
          <w:rFonts w:hint="eastAsia" w:ascii="仿宋_GB2312" w:hAnsi="仿宋_GB2312" w:eastAsia="仿宋_GB2312" w:cs="Times New Roman"/>
          <w:color w:val="auto"/>
          <w:sz w:val="32"/>
          <w:szCs w:val="32"/>
        </w:rPr>
        <w:t>获得灵活就业</w:t>
      </w:r>
      <w:r>
        <w:rPr>
          <w:rFonts w:ascii="仿宋_GB2312" w:hAnsi="仿宋_GB2312" w:eastAsia="仿宋_GB2312" w:cs="Times New Roman"/>
          <w:color w:val="auto"/>
          <w:sz w:val="32"/>
          <w:szCs w:val="32"/>
        </w:rPr>
        <w:t>社会保险</w:t>
      </w:r>
      <w:r>
        <w:rPr>
          <w:rFonts w:hint="eastAsia" w:ascii="仿宋_GB2312" w:hAnsi="仿宋_GB2312" w:eastAsia="仿宋_GB2312" w:cs="Times New Roman"/>
          <w:color w:val="auto"/>
          <w:sz w:val="32"/>
          <w:szCs w:val="32"/>
        </w:rPr>
        <w:t>补贴，其中，参加职工基本养老保险的，可以灵活选择缴费基数、缴费时间。</w:t>
      </w:r>
    </w:p>
    <w:p w14:paraId="0D14623D">
      <w:pPr>
        <w:pStyle w:val="4"/>
        <w:keepNext w:val="0"/>
        <w:keepLines w:val="0"/>
        <w:pageBreakBefore w:val="0"/>
        <w:widowControl w:val="0"/>
        <w:kinsoku/>
        <w:wordWrap/>
        <w:overflowPunct/>
        <w:topLinePunct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bookmarkStart w:id="7" w:name="OLE_LINK4"/>
      <w:r>
        <w:rPr>
          <w:rFonts w:ascii="仿宋_GB2312" w:hAnsi="仿宋_GB2312" w:eastAsia="仿宋_GB2312" w:cs="Times New Roman"/>
          <w:b/>
          <w:bCs/>
          <w:color w:val="auto"/>
          <w:sz w:val="32"/>
          <w:szCs w:val="32"/>
        </w:rPr>
        <w:t>—— 如果你正在求职，</w:t>
      </w:r>
      <w:r>
        <w:rPr>
          <w:rFonts w:hint="eastAsia" w:ascii="仿宋_GB2312" w:hAnsi="仿宋_GB2312" w:eastAsia="仿宋_GB2312" w:cs="Times New Roman"/>
          <w:color w:val="auto"/>
          <w:sz w:val="32"/>
          <w:szCs w:val="32"/>
        </w:rPr>
        <w:t>你可以到生源地或求职地公共就业服务机构，或登陆山东高校毕业生就业信息网、求职登记小程序，完成求职登记后，可免费获取岗位信息、职业指导、职业培训等公共就业服务。</w:t>
      </w:r>
      <w:bookmarkEnd w:id="7"/>
      <w:r>
        <w:rPr>
          <w:rFonts w:hint="eastAsia" w:ascii="仿宋_GB2312" w:hAnsi="仿宋_GB2312" w:eastAsia="仿宋_GB2312" w:cs="Times New Roman"/>
          <w:color w:val="auto"/>
          <w:sz w:val="32"/>
          <w:szCs w:val="32"/>
        </w:rPr>
        <w:t>当工作人员电话回访或登门拜访时，请配合提供</w:t>
      </w:r>
      <w:r>
        <w:rPr>
          <w:rFonts w:hint="eastAsia"/>
          <w:color w:val="auto"/>
        </w:rPr>
        <w:drawing>
          <wp:anchor distT="0" distB="0" distL="114300" distR="114300" simplePos="0" relativeHeight="251660288" behindDoc="0" locked="0" layoutInCell="1" allowOverlap="1">
            <wp:simplePos x="0" y="0"/>
            <wp:positionH relativeFrom="column">
              <wp:posOffset>2041525</wp:posOffset>
            </wp:positionH>
            <wp:positionV relativeFrom="paragraph">
              <wp:posOffset>372745</wp:posOffset>
            </wp:positionV>
            <wp:extent cx="1474470" cy="1471930"/>
            <wp:effectExtent l="0" t="0" r="0" b="0"/>
            <wp:wrapTopAndBottom/>
            <wp:docPr id="2020404275" name="图片 2020404275" descr="小程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04275" name="图片 2020404275" descr="小程序"/>
                    <pic:cNvPicPr>
                      <a:picLocks noChangeAspect="1"/>
                    </pic:cNvPicPr>
                  </pic:nvPicPr>
                  <pic:blipFill>
                    <a:blip r:embed="rId5"/>
                    <a:stretch>
                      <a:fillRect/>
                    </a:stretch>
                  </pic:blipFill>
                  <pic:spPr>
                    <a:xfrm>
                      <a:off x="0" y="0"/>
                      <a:ext cx="1474470" cy="1471930"/>
                    </a:xfrm>
                    <a:prstGeom prst="rect">
                      <a:avLst/>
                    </a:prstGeom>
                  </pic:spPr>
                </pic:pic>
              </a:graphicData>
            </a:graphic>
          </wp:anchor>
        </w:drawing>
      </w:r>
      <w:r>
        <w:rPr>
          <w:rFonts w:hint="eastAsia" w:ascii="仿宋_GB2312" w:hAnsi="仿宋_GB2312" w:eastAsia="仿宋_GB2312" w:cs="Times New Roman"/>
          <w:color w:val="auto"/>
          <w:sz w:val="32"/>
          <w:szCs w:val="32"/>
        </w:rPr>
        <w:t>就业意向、服务需求等信息，以便我们提供精准服务。</w:t>
      </w:r>
    </w:p>
    <w:p w14:paraId="7B972468">
      <w:pPr>
        <w:pStyle w:val="4"/>
        <w:keepNext w:val="0"/>
        <w:keepLines w:val="0"/>
        <w:pageBreakBefore w:val="0"/>
        <w:widowControl w:val="0"/>
        <w:kinsoku/>
        <w:wordWrap/>
        <w:overflowPunct/>
        <w:topLinePunct w:val="0"/>
        <w:bidi w:val="0"/>
        <w:snapToGrid/>
        <w:spacing w:line="586" w:lineRule="exact"/>
        <w:jc w:val="center"/>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未就业高校毕业生求职登记小程序二维码</w:t>
      </w:r>
    </w:p>
    <w:p w14:paraId="771B6220">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山东公共招聘网（</w:t>
      </w:r>
      <w:r>
        <w:rPr>
          <w:rStyle w:val="14"/>
          <w:rFonts w:ascii="仿宋_GB2312" w:hAnsi="仿宋_GB2312" w:eastAsia="仿宋_GB2312" w:cs="Times New Roman"/>
          <w:color w:val="auto"/>
          <w:sz w:val="32"/>
          <w:szCs w:val="32"/>
        </w:rPr>
        <w:t>https://www.sdggzp.cn/</w:t>
      </w:r>
      <w:r>
        <w:rPr>
          <w:rFonts w:hint="eastAsia" w:ascii="仿宋_GB2312" w:hAnsi="仿宋_GB2312" w:eastAsia="仿宋_GB2312" w:cs="Times New Roman"/>
          <w:color w:val="auto"/>
          <w:sz w:val="32"/>
          <w:szCs w:val="32"/>
        </w:rPr>
        <w:t>）、</w:t>
      </w:r>
      <w:bookmarkStart w:id="8" w:name="_Hlk202723756"/>
      <w:r>
        <w:rPr>
          <w:rFonts w:ascii="仿宋_GB2312" w:hAnsi="仿宋_GB2312" w:eastAsia="仿宋_GB2312" w:cs="Times New Roman"/>
          <w:color w:val="auto"/>
          <w:sz w:val="32"/>
          <w:szCs w:val="32"/>
        </w:rPr>
        <w:t>山东高校毕业生就业信息网</w:t>
      </w:r>
      <w:bookmarkEnd w:id="8"/>
      <w:r>
        <w:rPr>
          <w:rFonts w:ascii="仿宋_GB2312" w:hAnsi="仿宋_GB2312" w:eastAsia="仿宋_GB2312" w:cs="Times New Roman"/>
          <w:color w:val="auto"/>
          <w:sz w:val="32"/>
          <w:szCs w:val="32"/>
        </w:rPr>
        <w:t>（</w:t>
      </w:r>
      <w:r>
        <w:rPr>
          <w:rStyle w:val="14"/>
          <w:rFonts w:ascii="仿宋_GB2312" w:hAnsi="仿宋_GB2312" w:eastAsia="仿宋_GB2312" w:cs="Times New Roman"/>
          <w:color w:val="auto"/>
          <w:sz w:val="32"/>
          <w:szCs w:val="32"/>
        </w:rPr>
        <w:t>http</w:t>
      </w:r>
      <w:r>
        <w:rPr>
          <w:rStyle w:val="14"/>
          <w:rFonts w:hint="eastAsia" w:ascii="仿宋_GB2312" w:hAnsi="仿宋_GB2312" w:eastAsia="仿宋_GB2312" w:cs="Times New Roman"/>
          <w:color w:val="auto"/>
          <w:sz w:val="32"/>
          <w:szCs w:val="32"/>
          <w:lang w:val="en-US" w:eastAsia="zh-CN"/>
        </w:rPr>
        <w:t>s</w:t>
      </w:r>
      <w:r>
        <w:rPr>
          <w:rStyle w:val="14"/>
          <w:rFonts w:ascii="仿宋_GB2312" w:hAnsi="仿宋_GB2312" w:eastAsia="仿宋_GB2312" w:cs="Times New Roman"/>
          <w:color w:val="auto"/>
          <w:sz w:val="32"/>
          <w:szCs w:val="32"/>
        </w:rPr>
        <w:t>://www.sdgxbys.cn/index.html</w:t>
      </w:r>
      <w:r>
        <w:rPr>
          <w:rFonts w:ascii="仿宋_GB2312" w:hAnsi="仿宋_GB2312" w:eastAsia="仿宋_GB2312" w:cs="Times New Roman"/>
          <w:color w:val="auto"/>
          <w:sz w:val="32"/>
          <w:szCs w:val="32"/>
        </w:rPr>
        <w:t>）、各市公共招聘网站，以及人力资源社会保障部门推荐的优质人力资源服务机构网站，也将为你持续更新海量招聘信息，助力你早日找到心仪岗位。</w:t>
      </w:r>
    </w:p>
    <w:p w14:paraId="2016C732">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也可登录以下网站，获取岗位信息。</w:t>
      </w:r>
    </w:p>
    <w:p w14:paraId="268FBCFD">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color w:val="auto"/>
          <w:sz w:val="32"/>
          <w:szCs w:val="32"/>
        </w:rPr>
        <w:t>高校毕业生就业服务平台</w:t>
      </w:r>
    </w:p>
    <w:p w14:paraId="345563CE">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Style w:val="14"/>
          <w:rFonts w:ascii="仿宋_GB2312" w:eastAsia="仿宋_GB2312"/>
          <w:color w:val="auto"/>
          <w:sz w:val="32"/>
          <w:szCs w:val="32"/>
        </w:rPr>
      </w:pPr>
      <w:r>
        <w:rPr>
          <w:rStyle w:val="14"/>
          <w:rFonts w:hint="eastAsia" w:ascii="仿宋_GB2312" w:eastAsia="仿宋_GB2312"/>
          <w:color w:val="auto"/>
          <w:sz w:val="32"/>
          <w:szCs w:val="32"/>
        </w:rPr>
        <w:t>http://job.mohrss.gov.cn/202008gx/index.jhtml</w:t>
      </w:r>
    </w:p>
    <w:p w14:paraId="63EA83A5">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ascii="仿宋_GB2312" w:hAnsi="仿宋_GB2312" w:eastAsia="仿宋_GB2312" w:cs="Times New Roman"/>
          <w:color w:val="auto"/>
          <w:sz w:val="32"/>
          <w:szCs w:val="32"/>
        </w:rPr>
      </w:pPr>
      <w:r>
        <w:rPr>
          <w:rFonts w:ascii="仿宋_GB2312" w:hAnsi="仿宋_GB2312" w:eastAsia="仿宋_GB2312" w:cs="Times New Roman"/>
          <w:color w:val="auto"/>
          <w:sz w:val="32"/>
          <w:szCs w:val="32"/>
        </w:rPr>
        <w:t>中国公共招聘网</w:t>
      </w:r>
    </w:p>
    <w:p w14:paraId="799859BF">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Style w:val="14"/>
          <w:rFonts w:hint="eastAsia" w:ascii="仿宋_GB2312" w:hAnsi="Times New Roman" w:eastAsia="仿宋_GB2312" w:cs="Times New Roman"/>
          <w:color w:val="auto"/>
          <w:sz w:val="32"/>
          <w:szCs w:val="32"/>
        </w:rPr>
      </w:pPr>
      <w:r>
        <w:rPr>
          <w:rStyle w:val="14"/>
          <w:rFonts w:hint="eastAsia" w:ascii="仿宋_GB2312" w:hAnsi="Times New Roman" w:eastAsia="仿宋_GB2312" w:cs="Times New Roman"/>
          <w:color w:val="auto"/>
          <w:sz w:val="32"/>
          <w:szCs w:val="32"/>
        </w:rPr>
        <w:fldChar w:fldCharType="begin"/>
      </w:r>
      <w:r>
        <w:rPr>
          <w:rStyle w:val="14"/>
          <w:rFonts w:hint="eastAsia" w:ascii="仿宋_GB2312" w:hAnsi="Times New Roman" w:eastAsia="仿宋_GB2312" w:cs="Times New Roman"/>
          <w:color w:val="auto"/>
          <w:sz w:val="32"/>
          <w:szCs w:val="32"/>
        </w:rPr>
        <w:instrText xml:space="preserve"> HYPERLINK "http://job.mohrss.gov.cn" </w:instrText>
      </w:r>
      <w:r>
        <w:rPr>
          <w:rStyle w:val="14"/>
          <w:rFonts w:hint="eastAsia" w:ascii="仿宋_GB2312" w:hAnsi="Times New Roman" w:eastAsia="仿宋_GB2312" w:cs="Times New Roman"/>
          <w:color w:val="auto"/>
          <w:sz w:val="32"/>
          <w:szCs w:val="32"/>
        </w:rPr>
        <w:fldChar w:fldCharType="separate"/>
      </w:r>
      <w:r>
        <w:rPr>
          <w:rStyle w:val="14"/>
          <w:rFonts w:hint="eastAsia" w:ascii="仿宋_GB2312" w:hAnsi="Times New Roman" w:eastAsia="仿宋_GB2312" w:cs="Times New Roman"/>
          <w:color w:val="auto"/>
          <w:sz w:val="32"/>
          <w:szCs w:val="32"/>
        </w:rPr>
        <w:t>http://job.mohrss.gov.cn</w:t>
      </w:r>
      <w:r>
        <w:rPr>
          <w:rStyle w:val="14"/>
          <w:rFonts w:hint="eastAsia" w:ascii="仿宋_GB2312" w:hAnsi="Times New Roman" w:eastAsia="仿宋_GB2312" w:cs="Times New Roman"/>
          <w:color w:val="auto"/>
          <w:sz w:val="32"/>
          <w:szCs w:val="32"/>
        </w:rPr>
        <w:fldChar w:fldCharType="end"/>
      </w:r>
    </w:p>
    <w:p w14:paraId="4FA8275C">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color w:val="auto"/>
          <w:sz w:val="32"/>
          <w:szCs w:val="32"/>
        </w:rPr>
        <w:t>就业在线</w:t>
      </w:r>
      <w:bookmarkStart w:id="13" w:name="_GoBack"/>
      <w:bookmarkEnd w:id="13"/>
    </w:p>
    <w:p w14:paraId="76871FC6">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Style w:val="14"/>
          <w:rFonts w:hint="eastAsia" w:ascii="仿宋_GB2312" w:hAnsi="Times New Roman" w:eastAsia="仿宋_GB2312" w:cs="Times New Roman"/>
          <w:color w:val="auto"/>
          <w:sz w:val="32"/>
          <w:szCs w:val="32"/>
        </w:rPr>
      </w:pPr>
      <w:r>
        <w:rPr>
          <w:rStyle w:val="14"/>
          <w:rFonts w:hint="eastAsia" w:ascii="仿宋_GB2312" w:hAnsi="Times New Roman" w:eastAsia="仿宋_GB2312" w:cs="Times New Roman"/>
          <w:color w:val="auto"/>
          <w:sz w:val="32"/>
          <w:szCs w:val="32"/>
        </w:rPr>
        <w:fldChar w:fldCharType="begin"/>
      </w:r>
      <w:r>
        <w:rPr>
          <w:rStyle w:val="14"/>
          <w:rFonts w:hint="eastAsia" w:ascii="仿宋_GB2312" w:hAnsi="Times New Roman" w:eastAsia="仿宋_GB2312" w:cs="Times New Roman"/>
          <w:color w:val="auto"/>
          <w:sz w:val="32"/>
          <w:szCs w:val="32"/>
        </w:rPr>
        <w:instrText xml:space="preserve"> HYPERLINK "https://www.jobonline.cn" </w:instrText>
      </w:r>
      <w:r>
        <w:rPr>
          <w:rStyle w:val="14"/>
          <w:rFonts w:hint="eastAsia" w:ascii="仿宋_GB2312" w:hAnsi="Times New Roman" w:eastAsia="仿宋_GB2312" w:cs="Times New Roman"/>
          <w:color w:val="auto"/>
          <w:sz w:val="32"/>
          <w:szCs w:val="32"/>
        </w:rPr>
        <w:fldChar w:fldCharType="separate"/>
      </w:r>
      <w:r>
        <w:rPr>
          <w:rStyle w:val="14"/>
          <w:rFonts w:hint="eastAsia" w:ascii="仿宋_GB2312" w:hAnsi="Times New Roman" w:eastAsia="仿宋_GB2312" w:cs="Times New Roman"/>
          <w:color w:val="auto"/>
          <w:sz w:val="32"/>
          <w:szCs w:val="32"/>
        </w:rPr>
        <w:t>https://www.jobonline.cn</w:t>
      </w:r>
      <w:r>
        <w:rPr>
          <w:rStyle w:val="14"/>
          <w:rFonts w:hint="eastAsia" w:ascii="仿宋_GB2312" w:hAnsi="Times New Roman" w:eastAsia="仿宋_GB2312" w:cs="Times New Roman"/>
          <w:color w:val="auto"/>
          <w:sz w:val="32"/>
          <w:szCs w:val="32"/>
        </w:rPr>
        <w:fldChar w:fldCharType="end"/>
      </w:r>
    </w:p>
    <w:p w14:paraId="58FCCBDC">
      <w:pPr>
        <w:keepNext w:val="0"/>
        <w:keepLines w:val="0"/>
        <w:pageBreakBefore w:val="0"/>
        <w:widowControl w:val="0"/>
        <w:kinsoku/>
        <w:wordWrap/>
        <w:overflowPunct/>
        <w:topLinePunct w:val="0"/>
        <w:autoSpaceDE w:val="0"/>
        <w:bidi w:val="0"/>
        <w:adjustRightInd/>
        <w:snapToGrid/>
        <w:spacing w:line="586" w:lineRule="exact"/>
        <w:ind w:firstLine="632" w:firstLineChars="200"/>
        <w:textAlignment w:val="auto"/>
        <w:rPr>
          <w:rFonts w:ascii="仿宋_GB2312" w:hAnsi="Times New Roman" w:eastAsia="仿宋_GB2312" w:cs="Times New Roman"/>
          <w:color w:val="auto"/>
          <w:szCs w:val="32"/>
          <w:shd w:val="clear" w:color="auto" w:fill="FFFFFF"/>
        </w:rPr>
      </w:pPr>
      <w:r>
        <w:rPr>
          <w:rFonts w:ascii="仿宋_GB2312" w:hAnsi="Times New Roman" w:eastAsia="仿宋_GB2312" w:cs="Times New Roman"/>
          <w:color w:val="auto"/>
          <w:szCs w:val="32"/>
          <w:shd w:val="clear" w:color="auto" w:fill="FFFFFF"/>
        </w:rPr>
        <w:t>中国国家人才网</w:t>
      </w:r>
    </w:p>
    <w:p w14:paraId="79B79B17">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Style w:val="14"/>
          <w:rFonts w:hint="eastAsia" w:ascii="仿宋_GB2312" w:hAnsi="仿宋_GB2312"/>
          <w:color w:val="auto"/>
          <w:sz w:val="32"/>
        </w:rPr>
      </w:pPr>
      <w:r>
        <w:rPr>
          <w:rStyle w:val="14"/>
          <w:rFonts w:ascii="仿宋_GB2312" w:hAnsi="仿宋_GB2312"/>
          <w:color w:val="auto"/>
          <w:sz w:val="32"/>
        </w:rPr>
        <w:t>https://www.newjobs.com.cn</w:t>
      </w:r>
    </w:p>
    <w:p w14:paraId="34886A6B">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bookmarkStart w:id="9" w:name="OLE_LINK3"/>
      <w:r>
        <w:rPr>
          <w:rFonts w:ascii="仿宋_GB2312" w:hAnsi="仿宋_GB2312" w:eastAsia="仿宋_GB2312" w:cs="Times New Roman"/>
          <w:b/>
          <w:bCs/>
          <w:color w:val="auto"/>
          <w:sz w:val="32"/>
          <w:szCs w:val="32"/>
        </w:rPr>
        <w:t>—— 如果你有志自主创业，</w:t>
      </w:r>
      <w:r>
        <w:rPr>
          <w:rFonts w:ascii="仿宋_GB2312" w:hAnsi="仿宋_GB2312" w:eastAsia="仿宋_GB2312" w:cs="Times New Roman"/>
          <w:color w:val="auto"/>
          <w:sz w:val="32"/>
          <w:szCs w:val="32"/>
        </w:rPr>
        <w:t>你可以报名参加创业培训，全方位提升创业能力；申请创业担保贷款及贴息、税收优惠、创业补贴等政策，缓解资金压力；申请入驻创业孵化基地，获取开业指导、项目推介、孵化服务等支持。同时，人力资源社会保障部门还将举办</w:t>
      </w:r>
      <w:r>
        <w:rPr>
          <w:rFonts w:hint="eastAsia" w:ascii="仿宋_GB2312" w:hAnsi="仿宋_GB2312" w:eastAsia="仿宋_GB2312" w:cs="Times New Roman"/>
          <w:color w:val="auto"/>
          <w:sz w:val="32"/>
          <w:szCs w:val="32"/>
        </w:rPr>
        <w:t>创业资源对接系列活动</w:t>
      </w:r>
      <w:r>
        <w:rPr>
          <w:rFonts w:ascii="仿宋_GB2312" w:hAnsi="仿宋_GB2312" w:eastAsia="仿宋_GB2312" w:cs="Times New Roman"/>
          <w:color w:val="auto"/>
          <w:sz w:val="32"/>
          <w:szCs w:val="32"/>
        </w:rPr>
        <w:t>，为你的创业项目提供展示、成果转化与融资对接的广阔舞台，让你的创业梦想照进现实。</w:t>
      </w:r>
    </w:p>
    <w:bookmarkEnd w:id="9"/>
    <w:p w14:paraId="4CECA69D">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b/>
          <w:bCs/>
          <w:color w:val="auto"/>
          <w:sz w:val="32"/>
          <w:szCs w:val="32"/>
        </w:rPr>
        <w:t>—— 如果你</w:t>
      </w:r>
      <w:r>
        <w:rPr>
          <w:rFonts w:hint="eastAsia" w:ascii="仿宋_GB2312" w:hAnsi="仿宋_GB2312" w:eastAsia="仿宋_GB2312" w:cs="Times New Roman"/>
          <w:b/>
          <w:bCs/>
          <w:color w:val="auto"/>
          <w:sz w:val="32"/>
          <w:szCs w:val="32"/>
        </w:rPr>
        <w:t>遇到</w:t>
      </w:r>
      <w:r>
        <w:rPr>
          <w:rFonts w:ascii="仿宋_GB2312" w:hAnsi="仿宋_GB2312" w:eastAsia="仿宋_GB2312" w:cs="Times New Roman"/>
          <w:b/>
          <w:bCs/>
          <w:color w:val="auto"/>
          <w:sz w:val="32"/>
          <w:szCs w:val="32"/>
        </w:rPr>
        <w:t>求职</w:t>
      </w:r>
      <w:r>
        <w:rPr>
          <w:rFonts w:hint="eastAsia" w:ascii="仿宋_GB2312" w:hAnsi="仿宋_GB2312" w:eastAsia="仿宋_GB2312" w:cs="Times New Roman"/>
          <w:b/>
          <w:bCs/>
          <w:color w:val="auto"/>
          <w:sz w:val="32"/>
          <w:szCs w:val="32"/>
        </w:rPr>
        <w:t>困难</w:t>
      </w:r>
      <w:r>
        <w:rPr>
          <w:rFonts w:ascii="仿宋_GB2312" w:hAnsi="仿宋_GB2312" w:eastAsia="仿宋_GB2312" w:cs="Times New Roman"/>
          <w:b/>
          <w:bCs/>
          <w:color w:val="auto"/>
          <w:sz w:val="32"/>
          <w:szCs w:val="32"/>
        </w:rPr>
        <w:t>，</w:t>
      </w:r>
      <w:r>
        <w:rPr>
          <w:rFonts w:hint="eastAsia" w:ascii="仿宋_GB2312" w:hAnsi="仿宋_GB2312" w:eastAsia="仿宋_GB2312" w:cs="Times New Roman"/>
          <w:color w:val="auto"/>
          <w:sz w:val="32"/>
          <w:szCs w:val="32"/>
        </w:rPr>
        <w:t>请不必过度担忧，</w:t>
      </w:r>
      <w:r>
        <w:rPr>
          <w:rFonts w:ascii="仿宋_GB2312" w:hAnsi="仿宋_GB2312" w:eastAsia="仿宋_GB2312" w:cs="Times New Roman"/>
          <w:color w:val="auto"/>
          <w:sz w:val="32"/>
          <w:szCs w:val="32"/>
        </w:rPr>
        <w:t>欢迎</w:t>
      </w:r>
      <w:r>
        <w:rPr>
          <w:rFonts w:hint="eastAsia" w:ascii="仿宋_GB2312" w:hAnsi="仿宋_GB2312" w:eastAsia="仿宋_GB2312" w:cs="Times New Roman"/>
          <w:color w:val="auto"/>
          <w:sz w:val="32"/>
          <w:szCs w:val="32"/>
        </w:rPr>
        <w:t>你</w:t>
      </w:r>
      <w:r>
        <w:rPr>
          <w:rFonts w:ascii="仿宋_GB2312" w:hAnsi="仿宋_GB2312" w:eastAsia="仿宋_GB2312" w:cs="Times New Roman"/>
          <w:color w:val="auto"/>
          <w:sz w:val="32"/>
          <w:szCs w:val="32"/>
        </w:rPr>
        <w:t>报名参加求职能力实训营，</w:t>
      </w:r>
      <w:r>
        <w:rPr>
          <w:rFonts w:hint="eastAsia" w:ascii="仿宋_GB2312" w:hAnsi="仿宋_GB2312" w:eastAsia="仿宋_GB2312" w:cs="Times New Roman"/>
          <w:color w:val="auto"/>
          <w:sz w:val="32"/>
          <w:szCs w:val="32"/>
        </w:rPr>
        <w:t>掌握更多的求职技巧，</w:t>
      </w:r>
      <w:r>
        <w:rPr>
          <w:rFonts w:ascii="仿宋_GB2312" w:hAnsi="仿宋_GB2312" w:eastAsia="仿宋_GB2312" w:cs="Times New Roman"/>
          <w:color w:val="auto"/>
          <w:sz w:val="32"/>
          <w:szCs w:val="32"/>
        </w:rPr>
        <w:t>提升求职竞争力。</w:t>
      </w:r>
      <w:r>
        <w:rPr>
          <w:rFonts w:hint="eastAsia" w:ascii="仿宋_GB2312" w:hAnsi="仿宋_GB2312" w:eastAsia="仿宋_GB2312" w:cs="Times New Roman"/>
          <w:color w:val="auto"/>
          <w:sz w:val="32"/>
          <w:szCs w:val="32"/>
        </w:rPr>
        <w:t>你可以到当地公共就业服务机构主动进行实名登记，提供你的就业意向、服务需求等信息。</w:t>
      </w:r>
      <w:r>
        <w:rPr>
          <w:rFonts w:ascii="仿宋_GB2312" w:hAnsi="仿宋_GB2312" w:eastAsia="仿宋_GB2312" w:cs="Times New Roman"/>
          <w:color w:val="auto"/>
          <w:sz w:val="32"/>
          <w:szCs w:val="32"/>
        </w:rPr>
        <w:t>我们将优先推荐岗位、提供服务</w:t>
      </w:r>
      <w:r>
        <w:rPr>
          <w:rFonts w:hint="eastAsia" w:ascii="仿宋_GB2312" w:hAnsi="仿宋_GB2312" w:eastAsia="仿宋_GB2312" w:cs="Times New Roman"/>
          <w:color w:val="auto"/>
          <w:sz w:val="32"/>
          <w:szCs w:val="32"/>
        </w:rPr>
        <w:t>，帮助你尽早实现就业</w:t>
      </w:r>
      <w:r>
        <w:rPr>
          <w:rFonts w:hint="eastAsia" w:ascii="仿宋_GB2312" w:hAnsi="仿宋_GB2312" w:eastAsia="仿宋_GB2312" w:cs="Times New Roman"/>
          <w:color w:val="auto"/>
          <w:sz w:val="32"/>
          <w:szCs w:val="32"/>
          <w:lang w:eastAsia="zh"/>
        </w:rPr>
        <w:t>理</w:t>
      </w:r>
      <w:r>
        <w:rPr>
          <w:rFonts w:ascii="仿宋_GB2312" w:hAnsi="仿宋_GB2312" w:eastAsia="仿宋_GB2312" w:cs="Times New Roman"/>
          <w:color w:val="auto"/>
          <w:sz w:val="32"/>
          <w:szCs w:val="32"/>
        </w:rPr>
        <w:t>想。</w:t>
      </w:r>
    </w:p>
    <w:p w14:paraId="3718A9B9">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b/>
          <w:bCs/>
          <w:color w:val="auto"/>
          <w:sz w:val="32"/>
          <w:szCs w:val="32"/>
        </w:rPr>
        <w:t>—— 如果你暂时不考虑就业，</w:t>
      </w:r>
      <w:r>
        <w:rPr>
          <w:rFonts w:ascii="仿宋_GB2312" w:hAnsi="仿宋_GB2312" w:eastAsia="仿宋_GB2312" w:cs="Times New Roman"/>
          <w:color w:val="auto"/>
          <w:sz w:val="32"/>
          <w:szCs w:val="32"/>
        </w:rPr>
        <w:t>也请珍惜韶华，加油充电。积极参与就业见习、技能提升、志愿服务等实践活动，在丰富阅历、增长才干的过程中，不断积蓄力量、沉淀自我。若你有参加就业见习的意向，可在山东公共就业人才服务网上服务大厅 “百万就业见习岗位募集计划”专区，查询并报名心仪岗位，为未来的职业发展夯实基础。</w:t>
      </w:r>
    </w:p>
    <w:p w14:paraId="55162FEF">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color w:val="auto"/>
          <w:sz w:val="32"/>
          <w:szCs w:val="32"/>
        </w:rPr>
        <w:t>在此，我们也要提醒各位同学，求职路上务必擦亮眼睛、提高警惕，防范虚假招聘、乱收费、扣证件、培训贷等求职陷阱。如遭遇侵权行为，请立即</w:t>
      </w:r>
      <w:r>
        <w:rPr>
          <w:rFonts w:hint="eastAsia" w:ascii="仿宋_GB2312" w:hAnsi="仿宋_GB2312" w:eastAsia="仿宋_GB2312" w:cs="Times New Roman"/>
          <w:color w:val="auto"/>
          <w:sz w:val="32"/>
          <w:szCs w:val="32"/>
        </w:rPr>
        <w:t>拨打12333电话或向当地人力资源社会保障部门</w:t>
      </w:r>
      <w:r>
        <w:rPr>
          <w:rFonts w:ascii="仿宋_GB2312" w:hAnsi="仿宋_GB2312" w:eastAsia="仿宋_GB2312" w:cs="Times New Roman"/>
          <w:color w:val="auto"/>
          <w:sz w:val="32"/>
          <w:szCs w:val="32"/>
        </w:rPr>
        <w:t>投诉举报。</w:t>
      </w:r>
    </w:p>
    <w:p w14:paraId="534005E6">
      <w:pPr>
        <w:pStyle w:val="4"/>
        <w:keepNext w:val="0"/>
        <w:keepLines w:val="0"/>
        <w:pageBreakBefore w:val="0"/>
        <w:widowControl w:val="0"/>
        <w:kinsoku/>
        <w:wordWrap/>
        <w:overflowPunct/>
        <w:topLinePunct w:val="0"/>
        <w:autoSpaceDE w:val="0"/>
        <w:bidi w:val="0"/>
        <w:adjustRightInd/>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r>
        <w:rPr>
          <w:rFonts w:ascii="仿宋_GB2312" w:hAnsi="仿宋_GB2312" w:eastAsia="仿宋_GB2312" w:cs="Times New Roman"/>
          <w:color w:val="auto"/>
          <w:kern w:val="2"/>
          <w:sz w:val="32"/>
        </w:rPr>
        <w:t>齐鲁大地的每一寸土地都蕴藏着机遇，每一次挑战都将成为成长的阶梯。无论你们在就业创业的道路上顺境或是逆境，省内各级人力资源社会保障部门将是你们坚实的后盾，</w:t>
      </w:r>
      <w:r>
        <w:rPr>
          <w:rFonts w:ascii="仿宋_GB2312" w:hAnsi="仿宋_GB2312" w:eastAsia="仿宋_GB2312" w:cs="Times New Roman"/>
          <w:color w:val="auto"/>
          <w:sz w:val="32"/>
          <w:szCs w:val="32"/>
        </w:rPr>
        <w:t>期待你们选择山东、扎根山东，在这片充满希望的土地上追逐梦想、拼搏奋斗，书写属于自己的精彩人生篇章！</w:t>
      </w:r>
    </w:p>
    <w:p w14:paraId="77F911F5">
      <w:pPr>
        <w:pStyle w:val="4"/>
        <w:keepNext w:val="0"/>
        <w:keepLines w:val="0"/>
        <w:pageBreakBefore w:val="0"/>
        <w:widowControl w:val="0"/>
        <w:kinsoku/>
        <w:wordWrap/>
        <w:overflowPunct/>
        <w:topLinePunct w:val="0"/>
        <w:bidi w:val="0"/>
        <w:snapToGrid/>
        <w:spacing w:line="586" w:lineRule="exact"/>
        <w:ind w:firstLine="632" w:firstLineChars="200"/>
        <w:jc w:val="both"/>
        <w:textAlignment w:val="auto"/>
        <w:rPr>
          <w:rFonts w:hint="eastAsia" w:ascii="仿宋_GB2312" w:hAnsi="仿宋_GB2312" w:eastAsia="仿宋_GB2312" w:cs="Times New Roman"/>
          <w:color w:val="auto"/>
          <w:sz w:val="32"/>
          <w:szCs w:val="32"/>
        </w:rPr>
      </w:pPr>
    </w:p>
    <w:p w14:paraId="5B6714E6">
      <w:pPr>
        <w:pStyle w:val="4"/>
        <w:keepNext w:val="0"/>
        <w:keepLines w:val="0"/>
        <w:pageBreakBefore w:val="0"/>
        <w:widowControl w:val="0"/>
        <w:kinsoku/>
        <w:wordWrap/>
        <w:overflowPunct/>
        <w:topLinePunct w:val="0"/>
        <w:bidi w:val="0"/>
        <w:snapToGrid/>
        <w:spacing w:line="586" w:lineRule="exact"/>
        <w:ind w:firstLine="3792" w:firstLineChars="1200"/>
        <w:jc w:val="both"/>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山东省人力资源和社会保障厅</w:t>
      </w:r>
    </w:p>
    <w:p w14:paraId="7E8E30C1">
      <w:pPr>
        <w:pStyle w:val="4"/>
        <w:keepNext w:val="0"/>
        <w:keepLines w:val="0"/>
        <w:pageBreakBefore w:val="0"/>
        <w:widowControl w:val="0"/>
        <w:kinsoku/>
        <w:wordWrap/>
        <w:overflowPunct/>
        <w:topLinePunct w:val="0"/>
        <w:bidi w:val="0"/>
        <w:snapToGrid/>
        <w:spacing w:line="586" w:lineRule="exact"/>
        <w:ind w:firstLine="5372" w:firstLineChars="1700"/>
        <w:jc w:val="both"/>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2025年7月</w:t>
      </w:r>
    </w:p>
    <w:bookmarkEnd w:id="6"/>
    <w:p w14:paraId="0AC8BAF9">
      <w:pPr>
        <w:widowControl/>
        <w:jc w:val="left"/>
        <w:rPr>
          <w:rFonts w:hint="eastAsia" w:ascii="仿宋_GB2312" w:hAnsi="仿宋_GB2312" w:eastAsia="仿宋_GB2312" w:cs="Times New Roman"/>
          <w:color w:val="auto"/>
        </w:rPr>
      </w:pPr>
      <w:r>
        <w:rPr>
          <w:rFonts w:hint="eastAsia" w:ascii="仿宋_GB2312" w:hAnsi="仿宋_GB2312" w:eastAsia="仿宋_GB2312" w:cs="Times New Roman"/>
          <w:color w:val="auto"/>
        </w:rPr>
        <w:br w:type="page"/>
      </w:r>
    </w:p>
    <w:p w14:paraId="0A46802D">
      <w:pPr>
        <w:pStyle w:val="4"/>
        <w:spacing w:line="560" w:lineRule="exact"/>
        <w:jc w:val="center"/>
        <w:rPr>
          <w:rFonts w:hint="eastAsia" w:ascii="方正小标宋简体" w:hAnsi="方正小标宋简体" w:eastAsia="方正小标宋简体" w:cs="方正小标宋简体"/>
          <w:color w:val="auto"/>
          <w:sz w:val="44"/>
          <w:szCs w:val="44"/>
        </w:rPr>
      </w:pPr>
    </w:p>
    <w:p w14:paraId="431714AE">
      <w:pPr>
        <w:pStyle w:val="4"/>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人力资源社会保障部门就业服务渠道</w:t>
      </w:r>
    </w:p>
    <w:p w14:paraId="540C9FEF">
      <w:pPr>
        <w:pStyle w:val="4"/>
        <w:spacing w:line="560" w:lineRule="exact"/>
        <w:rPr>
          <w:rFonts w:hint="eastAsia" w:ascii="方正小标宋简体" w:hAnsi="方正小标宋简体" w:eastAsia="方正小标宋简体" w:cs="方正小标宋简体"/>
          <w:color w:val="auto"/>
          <w:sz w:val="44"/>
          <w:szCs w:val="44"/>
        </w:rPr>
      </w:pPr>
    </w:p>
    <w:p w14:paraId="7E72379F">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bookmarkStart w:id="10" w:name="_Hlk202725469"/>
      <w:r>
        <w:rPr>
          <w:rFonts w:hint="eastAsia" w:ascii="仿宋_GB2312" w:hAnsi="仿宋_GB2312" w:eastAsia="仿宋_GB2312" w:cs="仿宋_GB2312"/>
          <w:color w:val="auto"/>
          <w:sz w:val="32"/>
          <w:szCs w:val="32"/>
        </w:rPr>
        <w:t>山东公共就业和人才服务网上服务大厅</w:t>
      </w:r>
      <w:bookmarkEnd w:id="10"/>
      <w:r>
        <w:rPr>
          <w:rFonts w:hint="eastAsia" w:ascii="仿宋_GB2312" w:hAnsi="仿宋_GB2312" w:eastAsia="仿宋_GB2312" w:cs="仿宋_GB2312"/>
          <w:color w:val="auto"/>
          <w:sz w:val="32"/>
          <w:szCs w:val="32"/>
        </w:rPr>
        <w:t>：</w:t>
      </w:r>
    </w:p>
    <w:p w14:paraId="33ED5622">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http://103.239.153.109/sdjyweb/index.action</w:t>
      </w:r>
    </w:p>
    <w:p w14:paraId="2C64E26C">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●山东高校毕业生就业信息网：</w:t>
      </w:r>
    </w:p>
    <w:p w14:paraId="501805E2">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"https://www.sdgxbys.cn/"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https://www.sdgxbys.cn/</w:t>
      </w:r>
      <w:r>
        <w:rPr>
          <w:rFonts w:hint="eastAsia" w:ascii="仿宋_GB2312" w:hAnsi="仿宋_GB2312" w:eastAsia="仿宋_GB2312" w:cs="仿宋_GB2312"/>
          <w:color w:val="auto"/>
          <w:sz w:val="32"/>
          <w:szCs w:val="32"/>
        </w:rPr>
        <w:fldChar w:fldCharType="end"/>
      </w:r>
    </w:p>
    <w:p w14:paraId="44ABB4C2">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bookmarkStart w:id="11" w:name="OLE_LINK9"/>
      <w:r>
        <w:rPr>
          <w:rFonts w:hint="eastAsia" w:ascii="仿宋_GB2312" w:hAnsi="仿宋_GB2312" w:eastAsia="仿宋_GB2312" w:cs="仿宋_GB2312"/>
          <w:color w:val="auto"/>
          <w:sz w:val="32"/>
          <w:szCs w:val="32"/>
        </w:rPr>
        <w:t>●</w:t>
      </w:r>
      <w:bookmarkEnd w:id="11"/>
      <w:r>
        <w:rPr>
          <w:rFonts w:hint="eastAsia" w:ascii="仿宋_GB2312" w:hAnsi="仿宋_GB2312" w:eastAsia="仿宋_GB2312" w:cs="仿宋_GB2312"/>
          <w:color w:val="auto"/>
          <w:sz w:val="32"/>
          <w:szCs w:val="32"/>
        </w:rPr>
        <w:t>技能人才评价工作网</w:t>
      </w:r>
    </w:p>
    <w:p w14:paraId="6A526E1F">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http://www.osta.org.cn/</w:t>
      </w:r>
    </w:p>
    <w:p w14:paraId="6EFD2F36">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bookmarkStart w:id="12" w:name="_Hlk202725658"/>
      <w:r>
        <w:rPr>
          <w:rFonts w:hint="eastAsia" w:ascii="仿宋_GB2312" w:hAnsi="仿宋_GB2312" w:eastAsia="仿宋_GB2312" w:cs="仿宋_GB2312"/>
          <w:color w:val="auto"/>
          <w:sz w:val="32"/>
          <w:szCs w:val="32"/>
        </w:rPr>
        <w:t>●</w:t>
      </w:r>
      <w:bookmarkEnd w:id="12"/>
      <w:r>
        <w:rPr>
          <w:rFonts w:hint="eastAsia" w:ascii="仿宋_GB2312" w:hAnsi="仿宋_GB2312" w:eastAsia="仿宋_GB2312" w:cs="仿宋_GB2312"/>
          <w:color w:val="auto"/>
          <w:sz w:val="32"/>
          <w:szCs w:val="32"/>
        </w:rPr>
        <w:t>公共就业服务机构名录：在山东公共就业和人才服务网上服务大厅“各级公共就业人才服务机构联系方式”和“服务机构查询（地图）”模块中查询。</w:t>
      </w:r>
    </w:p>
    <w:p w14:paraId="4FDFD0CC">
      <w:pPr>
        <w:pStyle w:val="4"/>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drawing>
          <wp:anchor distT="0" distB="0" distL="114300" distR="114300" simplePos="0" relativeHeight="251661312" behindDoc="0" locked="0" layoutInCell="1" allowOverlap="1">
            <wp:simplePos x="0" y="0"/>
            <wp:positionH relativeFrom="column">
              <wp:posOffset>2020570</wp:posOffset>
            </wp:positionH>
            <wp:positionV relativeFrom="page">
              <wp:posOffset>6060440</wp:posOffset>
            </wp:positionV>
            <wp:extent cx="1574800" cy="1517015"/>
            <wp:effectExtent l="0" t="0" r="6350" b="6985"/>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rcRect t="4546" r="2862"/>
                    <a:stretch>
                      <a:fillRect/>
                    </a:stretch>
                  </pic:blipFill>
                  <pic:spPr>
                    <a:xfrm>
                      <a:off x="0" y="0"/>
                      <a:ext cx="1574800" cy="1517015"/>
                    </a:xfrm>
                    <a:prstGeom prst="rect">
                      <a:avLst/>
                    </a:prstGeom>
                  </pic:spPr>
                </pic:pic>
              </a:graphicData>
            </a:graphic>
          </wp:anchor>
        </w:drawing>
      </w:r>
      <w:r>
        <w:rPr>
          <w:rFonts w:hint="eastAsia" w:ascii="仿宋_GB2312" w:hAnsi="仿宋_GB2312" w:eastAsia="仿宋_GB2312" w:cs="仿宋_GB2312"/>
          <w:color w:val="auto"/>
          <w:sz w:val="32"/>
          <w:szCs w:val="32"/>
        </w:rPr>
        <w:t>●山东省高校毕业生就业创业政策地图</w:t>
      </w:r>
    </w:p>
    <w:p w14:paraId="1DD2C7FB">
      <w:pPr>
        <w:widowControl/>
        <w:jc w:val="left"/>
        <w:rPr>
          <w:rFonts w:hint="eastAsia" w:ascii="仿宋" w:hAnsi="仿宋" w:eastAsia="仿宋" w:cs="仿宋"/>
          <w:color w:val="auto"/>
          <w:sz w:val="20"/>
          <w:szCs w:val="20"/>
        </w:rPr>
      </w:pPr>
    </w:p>
    <w:sectPr>
      <w:footerReference r:id="rId3" w:type="default"/>
      <w:pgSz w:w="11906" w:h="16838"/>
      <w:pgMar w:top="2098" w:right="1531" w:bottom="1814" w:left="1531" w:header="851"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A7D10">
    <w:pPr>
      <w:pStyle w:val="6"/>
    </w:pPr>
    <w:r>
      <w:rPr>
        <w:sz w:val="18"/>
      </w:rPr>
      <w:pict>
        <v:shape id="_x0000_s3073" o:spid="_x0000_s3073" o:spt="202" type="#_x0000_t202" style="position:absolute;left:0pt;margin-top:2.2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98986F7">
                <w:pPr>
                  <w:pStyle w:val="6"/>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JjMTlmOWI2YjliZGRhZDkwNTU2OGJkNmFkYTU0YzAifQ=="/>
  </w:docVars>
  <w:rsids>
    <w:rsidRoot w:val="000B4C08"/>
    <w:rsid w:val="00047BED"/>
    <w:rsid w:val="000539C0"/>
    <w:rsid w:val="00055197"/>
    <w:rsid w:val="0005670F"/>
    <w:rsid w:val="000667E2"/>
    <w:rsid w:val="0008279C"/>
    <w:rsid w:val="000B4C08"/>
    <w:rsid w:val="000C669B"/>
    <w:rsid w:val="000D2336"/>
    <w:rsid w:val="000D4204"/>
    <w:rsid w:val="000D42F8"/>
    <w:rsid w:val="000D487D"/>
    <w:rsid w:val="000F3709"/>
    <w:rsid w:val="00113559"/>
    <w:rsid w:val="00121880"/>
    <w:rsid w:val="00136E25"/>
    <w:rsid w:val="00140318"/>
    <w:rsid w:val="0015764A"/>
    <w:rsid w:val="001916BA"/>
    <w:rsid w:val="00194805"/>
    <w:rsid w:val="001B704D"/>
    <w:rsid w:val="001C0EEA"/>
    <w:rsid w:val="002002CF"/>
    <w:rsid w:val="00200B69"/>
    <w:rsid w:val="00202C5D"/>
    <w:rsid w:val="002048B9"/>
    <w:rsid w:val="0021468E"/>
    <w:rsid w:val="002325C1"/>
    <w:rsid w:val="002548D8"/>
    <w:rsid w:val="0028462D"/>
    <w:rsid w:val="002A709A"/>
    <w:rsid w:val="002B32A2"/>
    <w:rsid w:val="00365CD2"/>
    <w:rsid w:val="00391C4B"/>
    <w:rsid w:val="003A2842"/>
    <w:rsid w:val="003B6A31"/>
    <w:rsid w:val="003B6E4F"/>
    <w:rsid w:val="003D0405"/>
    <w:rsid w:val="003E078F"/>
    <w:rsid w:val="003E3405"/>
    <w:rsid w:val="003F27EF"/>
    <w:rsid w:val="00436288"/>
    <w:rsid w:val="00490726"/>
    <w:rsid w:val="004B6FAB"/>
    <w:rsid w:val="004E0FE7"/>
    <w:rsid w:val="005017D5"/>
    <w:rsid w:val="00522102"/>
    <w:rsid w:val="00533431"/>
    <w:rsid w:val="005427F2"/>
    <w:rsid w:val="00555688"/>
    <w:rsid w:val="00566987"/>
    <w:rsid w:val="00566CC3"/>
    <w:rsid w:val="00593549"/>
    <w:rsid w:val="005A4FC6"/>
    <w:rsid w:val="005A7BE2"/>
    <w:rsid w:val="005C107D"/>
    <w:rsid w:val="005C5E80"/>
    <w:rsid w:val="00611CFC"/>
    <w:rsid w:val="00612E95"/>
    <w:rsid w:val="00620A91"/>
    <w:rsid w:val="00671F46"/>
    <w:rsid w:val="006A4F1B"/>
    <w:rsid w:val="006C2FE2"/>
    <w:rsid w:val="006E1103"/>
    <w:rsid w:val="00702E0C"/>
    <w:rsid w:val="00726089"/>
    <w:rsid w:val="00732291"/>
    <w:rsid w:val="00755730"/>
    <w:rsid w:val="0078539B"/>
    <w:rsid w:val="007A3C3C"/>
    <w:rsid w:val="007D4250"/>
    <w:rsid w:val="00824995"/>
    <w:rsid w:val="008351B1"/>
    <w:rsid w:val="008521D7"/>
    <w:rsid w:val="00864211"/>
    <w:rsid w:val="008B6196"/>
    <w:rsid w:val="008C1191"/>
    <w:rsid w:val="00910266"/>
    <w:rsid w:val="009254A7"/>
    <w:rsid w:val="00935A68"/>
    <w:rsid w:val="0094124F"/>
    <w:rsid w:val="009628CC"/>
    <w:rsid w:val="009631AC"/>
    <w:rsid w:val="0096336F"/>
    <w:rsid w:val="009666A3"/>
    <w:rsid w:val="0097186C"/>
    <w:rsid w:val="00991A93"/>
    <w:rsid w:val="009E3748"/>
    <w:rsid w:val="00A20E55"/>
    <w:rsid w:val="00A76BF2"/>
    <w:rsid w:val="00AB16E7"/>
    <w:rsid w:val="00AB626A"/>
    <w:rsid w:val="00AD6226"/>
    <w:rsid w:val="00B024AF"/>
    <w:rsid w:val="00B14CA0"/>
    <w:rsid w:val="00B3113D"/>
    <w:rsid w:val="00B538DC"/>
    <w:rsid w:val="00B64B9A"/>
    <w:rsid w:val="00B660C8"/>
    <w:rsid w:val="00B7599D"/>
    <w:rsid w:val="00BB6CBF"/>
    <w:rsid w:val="00BE08C9"/>
    <w:rsid w:val="00C12A09"/>
    <w:rsid w:val="00C150D6"/>
    <w:rsid w:val="00C3759D"/>
    <w:rsid w:val="00C411D7"/>
    <w:rsid w:val="00CA621E"/>
    <w:rsid w:val="00CE75B9"/>
    <w:rsid w:val="00CE777D"/>
    <w:rsid w:val="00CF328D"/>
    <w:rsid w:val="00D15ACC"/>
    <w:rsid w:val="00D2023E"/>
    <w:rsid w:val="00DC6FEC"/>
    <w:rsid w:val="00DC7DFC"/>
    <w:rsid w:val="00DE5428"/>
    <w:rsid w:val="00E01555"/>
    <w:rsid w:val="00E1132D"/>
    <w:rsid w:val="00E52D3C"/>
    <w:rsid w:val="00E96F76"/>
    <w:rsid w:val="00ED47F5"/>
    <w:rsid w:val="00EE5691"/>
    <w:rsid w:val="00EE59DE"/>
    <w:rsid w:val="00EE6215"/>
    <w:rsid w:val="00F03621"/>
    <w:rsid w:val="00F13699"/>
    <w:rsid w:val="00F22B8D"/>
    <w:rsid w:val="00F365C2"/>
    <w:rsid w:val="00F44BB3"/>
    <w:rsid w:val="00F518FD"/>
    <w:rsid w:val="00F97D8B"/>
    <w:rsid w:val="00FA2A85"/>
    <w:rsid w:val="00FC3653"/>
    <w:rsid w:val="01E21263"/>
    <w:rsid w:val="02EF1213"/>
    <w:rsid w:val="0317209C"/>
    <w:rsid w:val="037E4FBC"/>
    <w:rsid w:val="03A2514E"/>
    <w:rsid w:val="044E1BD8"/>
    <w:rsid w:val="04902CB6"/>
    <w:rsid w:val="04EB3BB5"/>
    <w:rsid w:val="06E764FC"/>
    <w:rsid w:val="0750064D"/>
    <w:rsid w:val="096B2D0D"/>
    <w:rsid w:val="099F410C"/>
    <w:rsid w:val="0AE415D8"/>
    <w:rsid w:val="0B075AE5"/>
    <w:rsid w:val="0B3862EA"/>
    <w:rsid w:val="0C3E0295"/>
    <w:rsid w:val="0D9A6DE2"/>
    <w:rsid w:val="0E341950"/>
    <w:rsid w:val="0EA81013"/>
    <w:rsid w:val="0EEA1757"/>
    <w:rsid w:val="0FB34D4B"/>
    <w:rsid w:val="118045F5"/>
    <w:rsid w:val="14525F2A"/>
    <w:rsid w:val="16C46D32"/>
    <w:rsid w:val="183F2B14"/>
    <w:rsid w:val="18A50BF1"/>
    <w:rsid w:val="190A4E17"/>
    <w:rsid w:val="192D6E10"/>
    <w:rsid w:val="197C4E46"/>
    <w:rsid w:val="198F06F7"/>
    <w:rsid w:val="19AF0D41"/>
    <w:rsid w:val="1A9371B4"/>
    <w:rsid w:val="1B3D74B6"/>
    <w:rsid w:val="1B474962"/>
    <w:rsid w:val="1B7B49AD"/>
    <w:rsid w:val="1BF4FD4F"/>
    <w:rsid w:val="1CA617DF"/>
    <w:rsid w:val="1FDC333E"/>
    <w:rsid w:val="21A5120D"/>
    <w:rsid w:val="221E19EC"/>
    <w:rsid w:val="2251657E"/>
    <w:rsid w:val="227B432A"/>
    <w:rsid w:val="22FB154F"/>
    <w:rsid w:val="2475240E"/>
    <w:rsid w:val="27F34E91"/>
    <w:rsid w:val="285F68BA"/>
    <w:rsid w:val="28F176FF"/>
    <w:rsid w:val="2A637EFA"/>
    <w:rsid w:val="2AF4469B"/>
    <w:rsid w:val="2B305FE6"/>
    <w:rsid w:val="2B9810D6"/>
    <w:rsid w:val="2CCF04B2"/>
    <w:rsid w:val="2D323A1A"/>
    <w:rsid w:val="2E037333"/>
    <w:rsid w:val="2E6B5FB9"/>
    <w:rsid w:val="2F3E61F9"/>
    <w:rsid w:val="308A7BBA"/>
    <w:rsid w:val="30987436"/>
    <w:rsid w:val="338342EA"/>
    <w:rsid w:val="346F4251"/>
    <w:rsid w:val="35026F4B"/>
    <w:rsid w:val="36ED79F2"/>
    <w:rsid w:val="37C63D34"/>
    <w:rsid w:val="39DFCDE5"/>
    <w:rsid w:val="3A9F2E79"/>
    <w:rsid w:val="3BB726C3"/>
    <w:rsid w:val="3C8B3574"/>
    <w:rsid w:val="3D5A3DC8"/>
    <w:rsid w:val="3DCE12CE"/>
    <w:rsid w:val="3F034924"/>
    <w:rsid w:val="3F372856"/>
    <w:rsid w:val="3F383660"/>
    <w:rsid w:val="3FC523E1"/>
    <w:rsid w:val="40E60052"/>
    <w:rsid w:val="431F26C0"/>
    <w:rsid w:val="437C4A8F"/>
    <w:rsid w:val="44E82A87"/>
    <w:rsid w:val="45AA51C1"/>
    <w:rsid w:val="475F6973"/>
    <w:rsid w:val="49D63BE5"/>
    <w:rsid w:val="4A8941B2"/>
    <w:rsid w:val="4B5E585D"/>
    <w:rsid w:val="4BA17F8D"/>
    <w:rsid w:val="4CD82614"/>
    <w:rsid w:val="4CE006EA"/>
    <w:rsid w:val="4CF80F08"/>
    <w:rsid w:val="4D812AEE"/>
    <w:rsid w:val="4E862559"/>
    <w:rsid w:val="4EC448EA"/>
    <w:rsid w:val="4EED6292"/>
    <w:rsid w:val="501B5AAD"/>
    <w:rsid w:val="525D6146"/>
    <w:rsid w:val="52742DDF"/>
    <w:rsid w:val="530F1930"/>
    <w:rsid w:val="54356AED"/>
    <w:rsid w:val="55474E28"/>
    <w:rsid w:val="558012DE"/>
    <w:rsid w:val="56E46059"/>
    <w:rsid w:val="57B55F59"/>
    <w:rsid w:val="594569EC"/>
    <w:rsid w:val="59C44B2B"/>
    <w:rsid w:val="5A255B9D"/>
    <w:rsid w:val="5A815B03"/>
    <w:rsid w:val="5A9B1124"/>
    <w:rsid w:val="5ABDAF2D"/>
    <w:rsid w:val="5BA83CAD"/>
    <w:rsid w:val="5BD82630"/>
    <w:rsid w:val="5BF10CF4"/>
    <w:rsid w:val="5C466A4F"/>
    <w:rsid w:val="5E7423B8"/>
    <w:rsid w:val="5EA04F5B"/>
    <w:rsid w:val="5FBF1BFB"/>
    <w:rsid w:val="60134730"/>
    <w:rsid w:val="628D57F7"/>
    <w:rsid w:val="62BFE633"/>
    <w:rsid w:val="63824E00"/>
    <w:rsid w:val="638C5FE8"/>
    <w:rsid w:val="63AD6150"/>
    <w:rsid w:val="64012A0C"/>
    <w:rsid w:val="65C9123C"/>
    <w:rsid w:val="66607952"/>
    <w:rsid w:val="67C409EB"/>
    <w:rsid w:val="67C545C3"/>
    <w:rsid w:val="67D704F7"/>
    <w:rsid w:val="6854739C"/>
    <w:rsid w:val="68977769"/>
    <w:rsid w:val="68CC12DD"/>
    <w:rsid w:val="694251E2"/>
    <w:rsid w:val="695A6949"/>
    <w:rsid w:val="69974C65"/>
    <w:rsid w:val="69D652FD"/>
    <w:rsid w:val="6A8E04CB"/>
    <w:rsid w:val="6B6C069F"/>
    <w:rsid w:val="6B8B53BC"/>
    <w:rsid w:val="6B8D0247"/>
    <w:rsid w:val="6BB72C28"/>
    <w:rsid w:val="6C153AD0"/>
    <w:rsid w:val="6CD17A50"/>
    <w:rsid w:val="6D3F1FD7"/>
    <w:rsid w:val="6E91041D"/>
    <w:rsid w:val="6EDD6EFA"/>
    <w:rsid w:val="6F707A5D"/>
    <w:rsid w:val="6FFFBD3F"/>
    <w:rsid w:val="70827501"/>
    <w:rsid w:val="70A315D4"/>
    <w:rsid w:val="70A77CBB"/>
    <w:rsid w:val="724B15A0"/>
    <w:rsid w:val="726A7902"/>
    <w:rsid w:val="72A76461"/>
    <w:rsid w:val="73025D8D"/>
    <w:rsid w:val="73145CEB"/>
    <w:rsid w:val="73190580"/>
    <w:rsid w:val="73212E99"/>
    <w:rsid w:val="73CC268A"/>
    <w:rsid w:val="74750913"/>
    <w:rsid w:val="75203347"/>
    <w:rsid w:val="75873BBE"/>
    <w:rsid w:val="767174B1"/>
    <w:rsid w:val="76BEDF36"/>
    <w:rsid w:val="77554CF3"/>
    <w:rsid w:val="7770353A"/>
    <w:rsid w:val="77EDB350"/>
    <w:rsid w:val="78422C86"/>
    <w:rsid w:val="78704E84"/>
    <w:rsid w:val="78A74AFF"/>
    <w:rsid w:val="7A5719C0"/>
    <w:rsid w:val="7BD41BC4"/>
    <w:rsid w:val="7C72063E"/>
    <w:rsid w:val="7E79AD27"/>
    <w:rsid w:val="7EC74D91"/>
    <w:rsid w:val="7F295684"/>
    <w:rsid w:val="7F6B6FDC"/>
    <w:rsid w:val="7FB709C1"/>
    <w:rsid w:val="7FB8526E"/>
    <w:rsid w:val="7FED70EC"/>
    <w:rsid w:val="9FBBCAA5"/>
    <w:rsid w:val="BD3E75C7"/>
    <w:rsid w:val="D1FF889C"/>
    <w:rsid w:val="D7DDF592"/>
    <w:rsid w:val="DBBD3471"/>
    <w:rsid w:val="DEFEEF83"/>
    <w:rsid w:val="E7B73963"/>
    <w:rsid w:val="E9F62576"/>
    <w:rsid w:val="EFBE8C0C"/>
    <w:rsid w:val="EFFF8157"/>
    <w:rsid w:val="F3A39FCF"/>
    <w:rsid w:val="F3FDE00C"/>
    <w:rsid w:val="F56DE5BF"/>
    <w:rsid w:val="F7FCBE46"/>
    <w:rsid w:val="FDFF8996"/>
    <w:rsid w:val="FEAB01CB"/>
    <w:rsid w:val="FFBFCD57"/>
    <w:rsid w:val="FFEE825E"/>
    <w:rsid w:val="FFF6C250"/>
    <w:rsid w:val="FFFFDF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 w:val="21"/>
    </w:rPr>
  </w:style>
  <w:style w:type="paragraph" w:styleId="3">
    <w:name w:val="Body Text Indent"/>
    <w:basedOn w:val="1"/>
    <w:semiHidden/>
    <w:qFormat/>
    <w:uiPriority w:val="99"/>
    <w:pPr>
      <w:spacing w:after="120"/>
      <w:ind w:left="420" w:leftChars="200"/>
    </w:pPr>
  </w:style>
  <w:style w:type="paragraph" w:customStyle="1" w:styleId="4">
    <w:name w:val="Default"/>
    <w:qFormat/>
    <w:uiPriority w:val="99"/>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5">
    <w:name w:val="annotation text"/>
    <w:basedOn w:val="1"/>
    <w:link w:val="21"/>
    <w:qFormat/>
    <w:uiPriority w:val="0"/>
    <w:pPr>
      <w:jc w:val="left"/>
    </w:p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tabs>
        <w:tab w:val="center" w:pos="4153"/>
        <w:tab w:val="right" w:pos="8306"/>
      </w:tabs>
      <w:snapToGrid w:val="0"/>
      <w:jc w:val="center"/>
    </w:pPr>
    <w:rPr>
      <w:sz w:val="18"/>
      <w:szCs w:val="18"/>
    </w:rPr>
  </w:style>
  <w:style w:type="paragraph" w:styleId="8">
    <w:name w:val="Normal (Web)"/>
    <w:basedOn w:val="1"/>
    <w:unhideWhenUsed/>
    <w:uiPriority w:val="99"/>
    <w:pPr>
      <w:spacing w:before="100" w:beforeAutospacing="1" w:after="100" w:afterAutospacing="1"/>
      <w:jc w:val="left"/>
    </w:pPr>
    <w:rPr>
      <w:rFonts w:ascii="Calibri" w:hAnsi="Calibri" w:eastAsia="宋体" w:cs="Calibri"/>
      <w:kern w:val="0"/>
      <w:sz w:val="24"/>
    </w:rPr>
  </w:style>
  <w:style w:type="paragraph" w:styleId="9">
    <w:name w:val="annotation subject"/>
    <w:basedOn w:val="5"/>
    <w:next w:val="5"/>
    <w:link w:val="22"/>
    <w:qFormat/>
    <w:uiPriority w:val="0"/>
    <w:rPr>
      <w:b/>
      <w:bCs/>
    </w:rPr>
  </w:style>
  <w:style w:type="character" w:styleId="12">
    <w:name w:val="Strong"/>
    <w:basedOn w:val="11"/>
    <w:qFormat/>
    <w:uiPriority w:val="0"/>
    <w:rPr>
      <w:b/>
    </w:rPr>
  </w:style>
  <w:style w:type="character" w:styleId="13">
    <w:name w:val="FollowedHyperlink"/>
    <w:basedOn w:val="11"/>
    <w:uiPriority w:val="0"/>
    <w:rPr>
      <w:color w:val="7E1FAD" w:themeColor="followedHyperlink"/>
      <w:u w:val="single"/>
    </w:rPr>
  </w:style>
  <w:style w:type="character" w:styleId="14">
    <w:name w:val="Hyperlink"/>
    <w:basedOn w:val="11"/>
    <w:qFormat/>
    <w:uiPriority w:val="0"/>
    <w:rPr>
      <w:color w:val="0000FF"/>
      <w:u w:val="single"/>
    </w:rPr>
  </w:style>
  <w:style w:type="character" w:styleId="15">
    <w:name w:val="annotation reference"/>
    <w:basedOn w:val="11"/>
    <w:qFormat/>
    <w:uiPriority w:val="0"/>
    <w:rPr>
      <w:sz w:val="21"/>
      <w:szCs w:val="21"/>
    </w:rPr>
  </w:style>
  <w:style w:type="character" w:customStyle="1" w:styleId="16">
    <w:name w:val="NormalCharacter"/>
    <w:qFormat/>
    <w:uiPriority w:val="0"/>
    <w:rPr>
      <w:rFonts w:ascii="Calibri" w:hAnsi="Calibri" w:eastAsia="宋体" w:cs="宋体"/>
      <w:kern w:val="2"/>
      <w:sz w:val="21"/>
      <w:szCs w:val="24"/>
      <w:lang w:val="en-US" w:eastAsia="zh-CN" w:bidi="ar-SA"/>
    </w:rPr>
  </w:style>
  <w:style w:type="character" w:customStyle="1" w:styleId="17">
    <w:name w:val="页眉 字符"/>
    <w:basedOn w:val="11"/>
    <w:link w:val="7"/>
    <w:qFormat/>
    <w:uiPriority w:val="0"/>
    <w:rPr>
      <w:rFonts w:asciiTheme="minorHAnsi" w:hAnsiTheme="minorHAnsi" w:eastAsiaTheme="minorEastAsia" w:cstheme="minorBidi"/>
      <w:kern w:val="2"/>
      <w:sz w:val="18"/>
      <w:szCs w:val="18"/>
    </w:rPr>
  </w:style>
  <w:style w:type="character" w:customStyle="1" w:styleId="18">
    <w:name w:val="页脚 字符"/>
    <w:basedOn w:val="11"/>
    <w:link w:val="6"/>
    <w:qFormat/>
    <w:uiPriority w:val="99"/>
    <w:rPr>
      <w:rFonts w:asciiTheme="minorHAnsi" w:hAnsiTheme="minorHAnsi" w:eastAsiaTheme="minorEastAsia" w:cstheme="minorBidi"/>
      <w:kern w:val="2"/>
      <w:sz w:val="18"/>
      <w:szCs w:val="18"/>
    </w:rPr>
  </w:style>
  <w:style w:type="character" w:customStyle="1" w:styleId="19">
    <w:name w:val="未处理的提及1"/>
    <w:basedOn w:val="11"/>
    <w:semiHidden/>
    <w:unhideWhenUsed/>
    <w:uiPriority w:val="99"/>
    <w:rPr>
      <w:color w:val="605E5C"/>
      <w:shd w:val="clear" w:color="auto" w:fill="E1DFDD"/>
    </w:rPr>
  </w:style>
  <w:style w:type="paragraph" w:customStyle="1" w:styleId="20">
    <w:name w:val="修订1"/>
    <w:hidden/>
    <w:unhideWhenUsed/>
    <w:qFormat/>
    <w:uiPriority w:val="99"/>
    <w:rPr>
      <w:rFonts w:asciiTheme="minorHAnsi" w:hAnsiTheme="minorHAnsi" w:eastAsiaTheme="minorEastAsia" w:cstheme="minorBidi"/>
      <w:kern w:val="2"/>
      <w:sz w:val="32"/>
      <w:szCs w:val="24"/>
      <w:lang w:val="en-US" w:eastAsia="zh-CN" w:bidi="ar-SA"/>
    </w:rPr>
  </w:style>
  <w:style w:type="character" w:customStyle="1" w:styleId="21">
    <w:name w:val="批注文字 字符"/>
    <w:basedOn w:val="11"/>
    <w:link w:val="5"/>
    <w:uiPriority w:val="0"/>
    <w:rPr>
      <w:rFonts w:asciiTheme="minorHAnsi" w:hAnsiTheme="minorHAnsi" w:eastAsiaTheme="minorEastAsia" w:cstheme="minorBidi"/>
      <w:kern w:val="2"/>
      <w:sz w:val="32"/>
      <w:szCs w:val="24"/>
    </w:rPr>
  </w:style>
  <w:style w:type="character" w:customStyle="1" w:styleId="22">
    <w:name w:val="批注主题 字符"/>
    <w:basedOn w:val="21"/>
    <w:link w:val="9"/>
    <w:uiPriority w:val="0"/>
    <w:rPr>
      <w:rFonts w:asciiTheme="minorHAnsi" w:hAnsiTheme="minorHAnsi" w:eastAsiaTheme="minorEastAsia" w:cstheme="minorBidi"/>
      <w:b/>
      <w:bCs/>
      <w:kern w:val="2"/>
      <w:sz w:val="32"/>
      <w:szCs w:val="24"/>
    </w:rPr>
  </w:style>
  <w:style w:type="paragraph" w:customStyle="1" w:styleId="23">
    <w:name w:val="修订2"/>
    <w:hidden/>
    <w:unhideWhenUsed/>
    <w:uiPriority w:val="99"/>
    <w:rPr>
      <w:rFonts w:asciiTheme="minorHAnsi" w:hAnsiTheme="minorHAnsi" w:eastAsiaTheme="minorEastAsia" w:cstheme="minorBidi"/>
      <w:kern w:val="2"/>
      <w:sz w:val="32"/>
      <w:szCs w:val="24"/>
      <w:lang w:val="en-US" w:eastAsia="zh-CN" w:bidi="ar-SA"/>
    </w:rPr>
  </w:style>
  <w:style w:type="character" w:customStyle="1" w:styleId="24">
    <w:name w:val="未处理的提及2"/>
    <w:basedOn w:val="11"/>
    <w:semiHidden/>
    <w:unhideWhenUsed/>
    <w:qFormat/>
    <w:uiPriority w:val="99"/>
    <w:rPr>
      <w:color w:val="605E5C"/>
      <w:shd w:val="clear" w:color="auto" w:fill="E1DFDD"/>
    </w:rPr>
  </w:style>
  <w:style w:type="paragraph" w:customStyle="1" w:styleId="25">
    <w:name w:val="Revision"/>
    <w:hidden/>
    <w:unhideWhenUsed/>
    <w:uiPriority w:val="99"/>
    <w:rPr>
      <w:rFonts w:asciiTheme="minorHAnsi" w:hAnsiTheme="minorHAnsi" w:eastAsiaTheme="minorEastAsia" w:cstheme="minorBidi"/>
      <w:kern w:val="2"/>
      <w:sz w:val="32"/>
      <w:szCs w:val="24"/>
      <w:lang w:val="en-US" w:eastAsia="zh-CN" w:bidi="ar-SA"/>
    </w:rPr>
  </w:style>
  <w:style w:type="character" w:customStyle="1" w:styleId="26">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991F7-EF10-44A8-84F5-B1291F97FC4F}">
  <ds:schemaRefs/>
</ds:datastoreItem>
</file>

<file path=docProps/app.xml><?xml version="1.0" encoding="utf-8"?>
<Properties xmlns="http://schemas.openxmlformats.org/officeDocument/2006/extended-properties" xmlns:vt="http://schemas.openxmlformats.org/officeDocument/2006/docPropsVTypes">
  <Pages>11</Pages>
  <Words>2586</Words>
  <Characters>2819</Characters>
  <Lines>165</Lines>
  <Paragraphs>142</Paragraphs>
  <TotalTime>7</TotalTime>
  <ScaleCrop>false</ScaleCrop>
  <LinksUpToDate>false</LinksUpToDate>
  <CharactersWithSpaces>5263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2025-07-08T18:09:00Z</dcterms:created>
  <dc:creator>Administrator</dc:creator>
  <cp:lastModifiedBy>LTGX03</cp:lastModifiedBy>
  <cp:lastPrinted>2025-07-09T22:20:00Z</cp:lastPrinted>
  <dcterms:modified xsi:type="dcterms:W3CDTF">2025-07-14T02:20:31Z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3ADF9E05BE9C4498A6F74555A5CEE797_13</vt:lpwstr>
  </property>
  <property fmtid="{D5CDD505-2E9C-101B-9397-08002B2CF9AE}" pid="4" name="KSOTemplateDocerSaveRecord">
    <vt:lpwstr>eyJoZGlkIjoiZDJjMTlmOWI2YjliZGRhZDkwNTU2OGJkNmFkYTU0YzAifQ==</vt:lpwstr>
  </property>
</Properties>
</file>