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47A7A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/>
          <w:color w:val="auto"/>
        </w:rPr>
      </w:pPr>
    </w:p>
    <w:p w14:paraId="552D4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黑体" w:hAnsi="黑体" w:eastAsia="黑体"/>
          <w:color w:val="auto"/>
        </w:rPr>
      </w:pPr>
    </w:p>
    <w:p w14:paraId="3D4DCBE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/>
        <w:jc w:val="both"/>
        <w:textAlignment w:val="auto"/>
        <w:outlineLvl w:val="9"/>
        <w:rPr>
          <w:rFonts w:hint="eastAsia"/>
          <w:color w:val="auto"/>
        </w:rPr>
      </w:pPr>
    </w:p>
    <w:p w14:paraId="5BBD5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鲁人社发〔2025〕6号</w:t>
      </w:r>
    </w:p>
    <w:p w14:paraId="3CAD1C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28A05B5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/>
          <w:color w:val="auto"/>
        </w:rPr>
      </w:pPr>
    </w:p>
    <w:p w14:paraId="51EEE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bCs/>
          <w:color w:val="auto"/>
          <w:sz w:val="44"/>
          <w:szCs w:val="24"/>
          <w:lang w:val="zh-CN"/>
        </w:rPr>
      </w:pPr>
      <w:r>
        <w:rPr>
          <w:rFonts w:ascii="Times New Roman" w:hAnsi="Times New Roman" w:eastAsia="方正小标宋简体" w:cs="Times New Roman"/>
          <w:bCs/>
          <w:color w:val="auto"/>
          <w:sz w:val="44"/>
          <w:szCs w:val="24"/>
          <w:lang w:val="zh-CN"/>
        </w:rPr>
        <w:t>山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24"/>
          <w:lang w:val="zh-CN"/>
        </w:rPr>
        <w:t>东省人力资源和社会保障厅 山东省财政厅</w:t>
      </w:r>
    </w:p>
    <w:p w14:paraId="47373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ascii="Times New Roman" w:hAnsi="Times New Roman" w:eastAsia="楷体_GB2312" w:cs="Times New Roman"/>
          <w:color w:val="auto"/>
          <w:szCs w:val="2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24"/>
          <w:lang w:val="zh-CN"/>
        </w:rPr>
        <w:t>关于202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24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24"/>
          <w:lang w:val="zh-CN"/>
        </w:rPr>
        <w:t>年调整退</w:t>
      </w:r>
      <w:r>
        <w:rPr>
          <w:rFonts w:ascii="Times New Roman" w:hAnsi="Times New Roman" w:eastAsia="方正小标宋简体" w:cs="Times New Roman"/>
          <w:bCs/>
          <w:color w:val="auto"/>
          <w:sz w:val="44"/>
          <w:szCs w:val="24"/>
          <w:lang w:val="zh-CN"/>
        </w:rPr>
        <w:t>休人员基本养老金的通知</w:t>
      </w:r>
    </w:p>
    <w:p w14:paraId="51184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ascii="仿宋_GB2312" w:hAnsi="Times New Roman" w:eastAsia="仿宋_GB2312" w:cs="Times New Roman"/>
          <w:color w:val="auto"/>
          <w:szCs w:val="32"/>
          <w:lang w:val="zh-CN"/>
        </w:rPr>
      </w:pPr>
    </w:p>
    <w:p w14:paraId="3607F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ascii="仿宋_GB2312" w:hAnsi="Times New Roman" w:eastAsia="仿宋_GB2312" w:cs="Times New Roman"/>
          <w:color w:val="auto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各市人民政府，省直各部门、单位，各养老保险省直管企业，各中央驻鲁机关事业单位：</w:t>
      </w:r>
    </w:p>
    <w:p w14:paraId="071F2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根据</w:t>
      </w:r>
      <w:r>
        <w:rPr>
          <w:rFonts w:hint="eastAsia" w:ascii="仿宋_GB2312" w:eastAsia="仿宋_GB2312"/>
          <w:color w:val="auto"/>
          <w:szCs w:val="32"/>
        </w:rPr>
        <w:t>《人力资源社会保障部财政部关于2025年调整退休人员基本养老金的通知》（人社部发〔2025〕38号）</w:t>
      </w:r>
      <w:r>
        <w:rPr>
          <w:rFonts w:hint="eastAsia" w:ascii="仿宋_GB2312" w:hAnsi="Times New Roman" w:eastAsia="仿宋_GB2312" w:cs="Times New Roman"/>
          <w:color w:val="auto"/>
          <w:szCs w:val="32"/>
        </w:rPr>
        <w:t>精神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，结合我省实际，经省政府同意，并报人力资源社会保障部、财政部批准，从202</w:t>
      </w:r>
      <w:r>
        <w:rPr>
          <w:rFonts w:hint="eastAsia" w:ascii="仿宋_GB2312" w:hAnsi="Times New Roman" w:eastAsia="仿宋_GB2312" w:cs="Times New Roman"/>
          <w:color w:val="auto"/>
          <w:szCs w:val="32"/>
        </w:rPr>
        <w:t>5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年1月1日起，调整企业和机关事业单位退休人员基本养老金。现就有关事项通知如下：</w:t>
      </w:r>
    </w:p>
    <w:p w14:paraId="598AE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黑体" w:hAnsi="黑体" w:eastAsia="黑体" w:cs="Times New Roman"/>
          <w:color w:val="auto"/>
          <w:szCs w:val="32"/>
          <w:lang w:val="zh-CN"/>
        </w:rPr>
      </w:pPr>
      <w:r>
        <w:rPr>
          <w:rFonts w:hint="eastAsia" w:ascii="黑体" w:hAnsi="黑体" w:eastAsia="黑体" w:cs="Times New Roman"/>
          <w:color w:val="auto"/>
          <w:szCs w:val="32"/>
          <w:lang w:val="zh-CN"/>
        </w:rPr>
        <w:t>一、调整范围</w:t>
      </w:r>
    </w:p>
    <w:p w14:paraId="58AD0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202</w:t>
      </w:r>
      <w:r>
        <w:rPr>
          <w:rFonts w:hint="eastAsia" w:ascii="仿宋_GB2312" w:hAnsi="Times New Roman" w:eastAsia="仿宋_GB2312" w:cs="Times New Roman"/>
          <w:color w:val="auto"/>
          <w:szCs w:val="32"/>
        </w:rPr>
        <w:t>4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年12月31日前已按规定办理退休、退职手续并按月领取基本养老金的退休、退职人员（以下简称退休人员）。</w:t>
      </w:r>
    </w:p>
    <w:p w14:paraId="44756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黑体" w:hAnsi="黑体" w:eastAsia="黑体" w:cs="Times New Roman"/>
          <w:color w:val="auto"/>
          <w:szCs w:val="32"/>
          <w:lang w:val="zh-CN"/>
        </w:rPr>
      </w:pPr>
      <w:r>
        <w:rPr>
          <w:rFonts w:hint="eastAsia" w:ascii="黑体" w:hAnsi="黑体" w:eastAsia="黑体" w:cs="Times New Roman"/>
          <w:color w:val="auto"/>
          <w:szCs w:val="32"/>
          <w:lang w:val="zh-CN"/>
        </w:rPr>
        <w:t>二、调整办法和标准</w:t>
      </w:r>
    </w:p>
    <w:p w14:paraId="0BE54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color w:val="auto"/>
          <w:szCs w:val="32"/>
          <w:lang w:val="en-US" w:eastAsia="zh-CN"/>
        </w:rPr>
        <w:t>本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次调整退休人员基本养老金，采取定额调整、挂钩调整和适当倾斜相结合的办法。</w:t>
      </w:r>
    </w:p>
    <w:p w14:paraId="415B7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zCs w:val="32"/>
          <w:lang w:val="zh-CN"/>
        </w:rPr>
      </w:pPr>
      <w:r>
        <w:rPr>
          <w:rFonts w:hint="eastAsia" w:ascii="楷体_GB2312" w:hAnsi="楷体_GB2312" w:eastAsia="楷体_GB2312" w:cs="楷体_GB2312"/>
          <w:color w:val="auto"/>
          <w:szCs w:val="32"/>
          <w:lang w:val="zh-CN"/>
        </w:rPr>
        <w:t>（一）定额调整。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每人每月增加</w:t>
      </w:r>
      <w:r>
        <w:rPr>
          <w:rFonts w:hint="eastAsia" w:ascii="仿宋_GB2312" w:hAnsi="Times New Roman" w:eastAsia="仿宋_GB2312" w:cs="Times New Roman"/>
          <w:color w:val="auto"/>
          <w:szCs w:val="32"/>
        </w:rPr>
        <w:t>27.3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元养老金。</w:t>
      </w:r>
    </w:p>
    <w:p w14:paraId="1B45C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zCs w:val="32"/>
          <w:lang w:val="zh-CN"/>
        </w:rPr>
      </w:pPr>
      <w:r>
        <w:rPr>
          <w:rFonts w:hint="eastAsia" w:ascii="楷体_GB2312" w:hAnsi="楷体_GB2312" w:eastAsia="楷体_GB2312" w:cs="楷体_GB2312"/>
          <w:color w:val="auto"/>
          <w:szCs w:val="32"/>
          <w:lang w:val="zh-CN"/>
        </w:rPr>
        <w:t>（二）挂钩调整。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按以下两部分计算增加养老金：</w:t>
      </w:r>
    </w:p>
    <w:p w14:paraId="1A492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color w:val="auto"/>
          <w:szCs w:val="32"/>
        </w:rPr>
        <w:t>1.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按202</w:t>
      </w:r>
      <w:r>
        <w:rPr>
          <w:rFonts w:hint="eastAsia" w:ascii="仿宋_GB2312" w:hAnsi="Times New Roman" w:eastAsia="仿宋_GB2312" w:cs="Times New Roman"/>
          <w:color w:val="auto"/>
          <w:szCs w:val="32"/>
        </w:rPr>
        <w:t>4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年12月本人基本养老金的</w:t>
      </w:r>
      <w:r>
        <w:rPr>
          <w:rFonts w:hint="eastAsia" w:ascii="仿宋_GB2312" w:hAnsi="Times New Roman" w:eastAsia="仿宋_GB2312" w:cs="Times New Roman"/>
          <w:color w:val="auto"/>
          <w:szCs w:val="32"/>
        </w:rPr>
        <w:t>0.56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%确定月增加额。</w:t>
      </w:r>
    </w:p>
    <w:p w14:paraId="35781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16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pacing w:val="-4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color w:val="auto"/>
          <w:spacing w:val="-4"/>
          <w:szCs w:val="32"/>
        </w:rPr>
        <w:t>2.</w:t>
      </w:r>
      <w:r>
        <w:rPr>
          <w:rFonts w:hint="eastAsia" w:ascii="仿宋_GB2312" w:hAnsi="Times New Roman" w:eastAsia="仿宋_GB2312" w:cs="Times New Roman"/>
          <w:color w:val="auto"/>
          <w:spacing w:val="-4"/>
          <w:szCs w:val="32"/>
          <w:lang w:val="zh-CN"/>
        </w:rPr>
        <w:t>按本人缴费年限分段确定月增加额，其中，对15年（含）以下的部分，每满1年，月增加</w:t>
      </w:r>
      <w:r>
        <w:rPr>
          <w:rFonts w:hint="eastAsia" w:ascii="仿宋_GB2312" w:hAnsi="Times New Roman" w:eastAsia="仿宋_GB2312" w:cs="Times New Roman"/>
          <w:color w:val="auto"/>
          <w:spacing w:val="-4"/>
          <w:szCs w:val="32"/>
        </w:rPr>
        <w:t>0.4</w:t>
      </w:r>
      <w:r>
        <w:rPr>
          <w:rFonts w:hint="eastAsia" w:ascii="仿宋_GB2312" w:hAnsi="Times New Roman" w:eastAsia="仿宋_GB2312" w:cs="Times New Roman"/>
          <w:color w:val="auto"/>
          <w:spacing w:val="-4"/>
          <w:szCs w:val="32"/>
          <w:lang w:val="zh-CN"/>
        </w:rPr>
        <w:t>元；16年以上至25年的部分，每满1年，月增加</w:t>
      </w:r>
      <w:r>
        <w:rPr>
          <w:rFonts w:hint="eastAsia" w:ascii="仿宋_GB2312" w:hAnsi="Times New Roman" w:eastAsia="仿宋_GB2312" w:cs="Times New Roman"/>
          <w:color w:val="auto"/>
          <w:spacing w:val="-4"/>
          <w:szCs w:val="32"/>
        </w:rPr>
        <w:t>0.5</w:t>
      </w:r>
      <w:r>
        <w:rPr>
          <w:rFonts w:hint="eastAsia" w:ascii="仿宋_GB2312" w:hAnsi="Times New Roman" w:eastAsia="仿宋_GB2312" w:cs="Times New Roman"/>
          <w:color w:val="auto"/>
          <w:spacing w:val="-4"/>
          <w:szCs w:val="32"/>
          <w:lang w:val="zh-CN"/>
        </w:rPr>
        <w:t>元；26年以上至35年的部分，每满1年，月增加</w:t>
      </w:r>
      <w:r>
        <w:rPr>
          <w:rFonts w:hint="eastAsia" w:ascii="仿宋_GB2312" w:hAnsi="Times New Roman" w:eastAsia="仿宋_GB2312" w:cs="Times New Roman"/>
          <w:color w:val="auto"/>
          <w:spacing w:val="-4"/>
          <w:szCs w:val="32"/>
        </w:rPr>
        <w:t>0.6</w:t>
      </w:r>
      <w:r>
        <w:rPr>
          <w:rFonts w:hint="eastAsia" w:ascii="仿宋_GB2312" w:hAnsi="Times New Roman" w:eastAsia="仿宋_GB2312" w:cs="Times New Roman"/>
          <w:color w:val="auto"/>
          <w:spacing w:val="-4"/>
          <w:szCs w:val="32"/>
          <w:lang w:val="zh-CN"/>
        </w:rPr>
        <w:t>元；36年以上至45年的部分，每满1年，月增加</w:t>
      </w:r>
      <w:r>
        <w:rPr>
          <w:rFonts w:hint="eastAsia" w:ascii="仿宋_GB2312" w:hAnsi="Times New Roman" w:eastAsia="仿宋_GB2312" w:cs="Times New Roman"/>
          <w:color w:val="auto"/>
          <w:spacing w:val="-4"/>
          <w:szCs w:val="32"/>
        </w:rPr>
        <w:t>0.7</w:t>
      </w:r>
      <w:r>
        <w:rPr>
          <w:rFonts w:hint="eastAsia" w:ascii="仿宋_GB2312" w:hAnsi="Times New Roman" w:eastAsia="仿宋_GB2312" w:cs="Times New Roman"/>
          <w:color w:val="auto"/>
          <w:spacing w:val="-4"/>
          <w:szCs w:val="32"/>
          <w:lang w:val="zh-CN"/>
        </w:rPr>
        <w:t>元；46年以上的部分，每满1年，月增加</w:t>
      </w:r>
      <w:r>
        <w:rPr>
          <w:rFonts w:hint="eastAsia" w:ascii="仿宋_GB2312" w:hAnsi="Times New Roman" w:eastAsia="仿宋_GB2312" w:cs="Times New Roman"/>
          <w:color w:val="auto"/>
          <w:spacing w:val="-4"/>
          <w:szCs w:val="32"/>
        </w:rPr>
        <w:t>0.8</w:t>
      </w:r>
      <w:r>
        <w:rPr>
          <w:rFonts w:hint="eastAsia" w:ascii="仿宋_GB2312" w:hAnsi="Times New Roman" w:eastAsia="仿宋_GB2312" w:cs="Times New Roman"/>
          <w:color w:val="auto"/>
          <w:spacing w:val="-4"/>
          <w:szCs w:val="32"/>
          <w:lang w:val="zh-CN"/>
        </w:rPr>
        <w:t>元。缴费年限含视同缴费年限，不含特殊工种等折算增加的年限；缴费年限不足1年的，按1年计算。</w:t>
      </w:r>
    </w:p>
    <w:p w14:paraId="5A287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pacing w:val="-4"/>
          <w:szCs w:val="32"/>
          <w:lang w:val="zh-CN"/>
        </w:rPr>
      </w:pPr>
      <w:r>
        <w:rPr>
          <w:rFonts w:hint="eastAsia" w:ascii="楷体_GB2312" w:hAnsi="楷体_GB2312" w:eastAsia="楷体_GB2312" w:cs="楷体_GB2312"/>
          <w:color w:val="auto"/>
          <w:szCs w:val="32"/>
          <w:lang w:val="zh-CN"/>
        </w:rPr>
        <w:t>（三）适当倾斜。</w:t>
      </w:r>
      <w:r>
        <w:rPr>
          <w:rFonts w:hint="eastAsia" w:ascii="仿宋_GB2312" w:hAnsi="Times New Roman" w:eastAsia="仿宋_GB2312" w:cs="Times New Roman"/>
          <w:color w:val="auto"/>
          <w:spacing w:val="-4"/>
          <w:szCs w:val="32"/>
          <w:lang w:val="zh-CN"/>
        </w:rPr>
        <w:t>截至2024年12月31日，年龄满70周岁的退休人员每人每月增加30元；其中，70周岁以上的退休人员，每增加一岁，每人每月再增加2元。</w:t>
      </w:r>
    </w:p>
    <w:p w14:paraId="79072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黑体" w:hAnsi="黑体" w:eastAsia="黑体" w:cs="Times New Roman"/>
          <w:color w:val="auto"/>
          <w:szCs w:val="32"/>
          <w:lang w:val="zh-CN"/>
        </w:rPr>
      </w:pPr>
      <w:r>
        <w:rPr>
          <w:rFonts w:hint="eastAsia" w:ascii="黑体" w:hAnsi="黑体" w:eastAsia="黑体" w:cs="Times New Roman"/>
          <w:color w:val="auto"/>
          <w:szCs w:val="32"/>
          <w:lang w:val="zh-CN"/>
        </w:rPr>
        <w:t>三、资金列支渠道</w:t>
      </w:r>
    </w:p>
    <w:p w14:paraId="5F447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16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pacing w:val="-4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color w:val="auto"/>
          <w:spacing w:val="-4"/>
          <w:szCs w:val="32"/>
          <w:lang w:val="zh-CN"/>
        </w:rPr>
        <w:t>调整基本养老金所需资金，参加企业职工基本养老保险的，从企业基本养老保险基金中列支；参加机关事业单位工作人员基本养老保险的，从机关事业单位基本养老保险基金中列支。地方财政对本地调整企业退休人员</w:t>
      </w:r>
      <w:r>
        <w:rPr>
          <w:rFonts w:hint="eastAsia" w:ascii="仿宋_GB2312" w:hAnsi="Times New Roman" w:eastAsia="仿宋_GB2312" w:cs="Times New Roman"/>
          <w:color w:val="auto"/>
          <w:spacing w:val="-4"/>
          <w:szCs w:val="32"/>
          <w:lang w:val="en-US" w:eastAsia="zh-CN"/>
        </w:rPr>
        <w:t>基本</w:t>
      </w:r>
      <w:r>
        <w:rPr>
          <w:rFonts w:hint="eastAsia" w:ascii="仿宋_GB2312" w:hAnsi="Times New Roman" w:eastAsia="仿宋_GB2312" w:cs="Times New Roman"/>
          <w:color w:val="auto"/>
          <w:spacing w:val="-4"/>
          <w:szCs w:val="32"/>
          <w:lang w:val="zh-CN"/>
        </w:rPr>
        <w:t>养老金新增支出安排资金给予一定补助。未参加职工基本养老保险的，由原渠道解决。其中，所需资金从养老保险基金列支时，要按照参保人员退休时的个人账户养老金占基本养老金的比例，从个人账户余额中列支一部分，剩余部分从统筹基金中列支，当个人账户余额为零时，全部从统筹基金中列支。</w:t>
      </w:r>
    </w:p>
    <w:p w14:paraId="28401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黑体" w:hAnsi="黑体" w:eastAsia="黑体" w:cs="Times New Roman"/>
          <w:color w:val="auto"/>
          <w:szCs w:val="32"/>
        </w:rPr>
      </w:pPr>
      <w:r>
        <w:rPr>
          <w:rFonts w:hint="eastAsia" w:ascii="黑体" w:hAnsi="黑体" w:eastAsia="黑体" w:cs="Times New Roman"/>
          <w:color w:val="auto"/>
          <w:szCs w:val="32"/>
        </w:rPr>
        <w:t>四、相关问题处理</w:t>
      </w:r>
    </w:p>
    <w:p w14:paraId="34A67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（一）按相关规定办理退休手续的建国前老工人，基本养老金调整办法另行制定。</w:t>
      </w:r>
    </w:p>
    <w:p w14:paraId="4C868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（二）按本</w:t>
      </w:r>
      <w:r>
        <w:rPr>
          <w:rFonts w:hint="eastAsia" w:ascii="仿宋_GB2312" w:hAnsi="Times New Roman" w:eastAsia="仿宋_GB2312" w:cs="Times New Roman"/>
          <w:color w:val="auto"/>
          <w:spacing w:val="-9"/>
          <w:szCs w:val="32"/>
          <w:lang w:val="zh-CN"/>
        </w:rPr>
        <w:t>通知调整基本养老金的退职人员，系指按《劳动保</w:t>
      </w:r>
      <w:r>
        <w:rPr>
          <w:rFonts w:hint="eastAsia" w:ascii="仿宋_GB2312" w:hAnsi="Times New Roman" w:eastAsia="仿宋_GB2312" w:cs="Times New Roman"/>
          <w:color w:val="auto"/>
          <w:spacing w:val="-6"/>
          <w:szCs w:val="32"/>
          <w:lang w:val="zh-CN"/>
        </w:rPr>
        <w:t>险条例》第13条丙款、国发〔1978〕104号、鲁革发〔1972〕143号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文件规定办理退职手续并按月领取退职生活费的人员。</w:t>
      </w:r>
    </w:p>
    <w:p w14:paraId="02D3F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（</w:t>
      </w:r>
      <w:r>
        <w:rPr>
          <w:rFonts w:hint="eastAsia" w:ascii="仿宋_GB2312" w:hAnsi="Times New Roman" w:eastAsia="仿宋_GB2312" w:cs="Times New Roman"/>
          <w:color w:val="auto"/>
          <w:szCs w:val="32"/>
        </w:rPr>
        <w:t>三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）确定本人月基本养老金基数时，企业退休人员按鲁劳社发〔1999〕82号文件及有关规定执行；机关事业单位退休人员按鲁人社办发〔2015〕78号文件及有关规定应当纳入基本养老保险统筹的待遇项目确定。</w:t>
      </w:r>
    </w:p>
    <w:p w14:paraId="1CEB1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16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pacing w:val="-4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color w:val="auto"/>
          <w:spacing w:val="-4"/>
          <w:szCs w:val="32"/>
          <w:lang w:val="zh-CN"/>
        </w:rPr>
        <w:t>（</w:t>
      </w:r>
      <w:r>
        <w:rPr>
          <w:rFonts w:hint="eastAsia" w:ascii="仿宋_GB2312" w:hAnsi="Times New Roman" w:eastAsia="仿宋_GB2312" w:cs="Times New Roman"/>
          <w:color w:val="auto"/>
          <w:spacing w:val="-4"/>
          <w:szCs w:val="32"/>
        </w:rPr>
        <w:t>四</w:t>
      </w:r>
      <w:r>
        <w:rPr>
          <w:rFonts w:hint="eastAsia" w:ascii="仿宋_GB2312" w:hAnsi="Times New Roman" w:eastAsia="仿宋_GB2312" w:cs="Times New Roman"/>
          <w:color w:val="auto"/>
          <w:spacing w:val="-4"/>
          <w:szCs w:val="32"/>
          <w:lang w:val="zh-CN"/>
        </w:rPr>
        <w:t>）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企业一至四级工伤退休人员如缴费年限不满35年，在与本人缴费年限挂钩调整基本养老金时，按35年调整增加。</w:t>
      </w:r>
    </w:p>
    <w:p w14:paraId="30563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（</w:t>
      </w:r>
      <w:r>
        <w:rPr>
          <w:rFonts w:hint="eastAsia" w:ascii="仿宋_GB2312" w:hAnsi="Times New Roman" w:eastAsia="仿宋_GB2312" w:cs="Times New Roman"/>
          <w:color w:val="auto"/>
          <w:szCs w:val="32"/>
        </w:rPr>
        <w:t>五</w:t>
      </w: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）本次调整基本养老金，一律计算到元，总额不足1元的按1元增加。</w:t>
      </w:r>
    </w:p>
    <w:p w14:paraId="21BD3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黑体" w:hAnsi="黑体" w:eastAsia="黑体" w:cs="Times New Roman"/>
          <w:color w:val="auto"/>
          <w:szCs w:val="32"/>
          <w:lang w:val="zh-CN"/>
        </w:rPr>
      </w:pPr>
      <w:r>
        <w:rPr>
          <w:rFonts w:hint="eastAsia" w:ascii="黑体" w:hAnsi="黑体" w:eastAsia="黑体" w:cs="Times New Roman"/>
          <w:color w:val="auto"/>
          <w:szCs w:val="32"/>
          <w:lang w:val="zh-CN"/>
        </w:rPr>
        <w:t>五、组织实施</w:t>
      </w:r>
    </w:p>
    <w:p w14:paraId="6FD62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zCs w:val="32"/>
          <w:lang w:val="zh-CN"/>
        </w:rPr>
      </w:pPr>
      <w:r>
        <w:rPr>
          <w:rFonts w:hint="eastAsia" w:ascii="仿宋_GB2312" w:hAnsi="Times New Roman" w:eastAsia="仿宋_GB2312" w:cs="Times New Roman"/>
          <w:color w:val="auto"/>
          <w:szCs w:val="32"/>
          <w:lang w:val="zh-CN"/>
        </w:rPr>
        <w:t>本次调整退休人员基本养老金，是提高保障和改善民生水平的重要措施，充分体现了党中央、国务院和省委、省政府对广大退休人员的亲切关怀，直接关系到广大退休人员的切身利益，涉及面广，政策性强。各市、各部门（单位）要高度重视，切实加强领导，精心组织实施，加强宣传解读，正确引导舆论，确保组织实施工作平稳有序。各市要按照省统一部署，制定工作实施方案，对调整养老金工作的组织领导、工作进度、资金保障等作出周密安排，确保退休人员基本养老金按时足额发放。</w:t>
      </w:r>
    </w:p>
    <w:p w14:paraId="7023B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ascii="仿宋_GB2312" w:hAnsi="Times New Roman" w:eastAsia="仿宋_GB2312" w:cs="Times New Roman"/>
          <w:color w:val="auto"/>
          <w:szCs w:val="32"/>
          <w:lang w:val="zh-CN"/>
        </w:rPr>
      </w:pPr>
    </w:p>
    <w:p w14:paraId="1DB3CB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color w:val="auto"/>
          <w:lang w:val="zh-CN"/>
        </w:rPr>
      </w:pPr>
    </w:p>
    <w:tbl>
      <w:tblPr>
        <w:tblStyle w:val="15"/>
        <w:tblW w:w="9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 w14:paraId="253FF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27EAF6AA">
            <w:pPr>
              <w:autoSpaceDE w:val="0"/>
              <w:autoSpaceDN w:val="0"/>
              <w:spacing w:line="560" w:lineRule="exact"/>
              <w:jc w:val="center"/>
              <w:rPr>
                <w:rFonts w:ascii="仿宋_GB2312" w:hAnsi="Times New Roman" w:eastAsia="仿宋_GB2312" w:cs="Times New Roman"/>
                <w:color w:val="auto"/>
                <w:szCs w:val="32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32"/>
                <w:lang w:val="zh-CN"/>
              </w:rPr>
              <w:t>山东省人力资源和社会保障厅</w:t>
            </w:r>
          </w:p>
        </w:tc>
        <w:tc>
          <w:tcPr>
            <w:tcW w:w="4530" w:type="dxa"/>
            <w:vAlign w:val="center"/>
          </w:tcPr>
          <w:p w14:paraId="0E8214B2">
            <w:pPr>
              <w:autoSpaceDE w:val="0"/>
              <w:autoSpaceDN w:val="0"/>
              <w:spacing w:line="560" w:lineRule="exact"/>
              <w:jc w:val="center"/>
              <w:rPr>
                <w:rFonts w:ascii="仿宋_GB2312" w:hAnsi="Times New Roman" w:eastAsia="仿宋_GB2312" w:cs="Times New Roman"/>
                <w:color w:val="auto"/>
                <w:szCs w:val="32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32"/>
                <w:lang w:val="zh-CN"/>
              </w:rPr>
              <w:t>山东省财政厅</w:t>
            </w:r>
          </w:p>
        </w:tc>
      </w:tr>
      <w:tr w14:paraId="0A5FD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122D6883"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Cs w:val="32"/>
                <w:lang w:val="zh-CN"/>
              </w:rPr>
            </w:pPr>
          </w:p>
        </w:tc>
        <w:tc>
          <w:tcPr>
            <w:tcW w:w="4530" w:type="dxa"/>
            <w:vAlign w:val="center"/>
          </w:tcPr>
          <w:p w14:paraId="1DDF9D66"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Cs w:val="32"/>
                <w:lang w:val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32"/>
                <w:lang w:val="zh-CN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32"/>
              </w:rPr>
              <w:t>5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32"/>
                <w:lang w:val="zh-CN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32"/>
                <w:lang w:val="en-US" w:eastAsia="zh-CN"/>
              </w:rPr>
              <w:t>7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32"/>
                <w:lang w:val="zh-CN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32"/>
                <w:lang w:val="en-US" w:eastAsia="zh-CN"/>
              </w:rPr>
              <w:t>20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32"/>
                <w:lang w:val="zh-CN"/>
              </w:rPr>
              <w:t>日</w:t>
            </w:r>
          </w:p>
        </w:tc>
      </w:tr>
    </w:tbl>
    <w:p w14:paraId="2B372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32"/>
          <w:lang w:val="zh-CN"/>
        </w:rPr>
      </w:pPr>
    </w:p>
    <w:p w14:paraId="33D9C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  <w:lang w:val="zh-CN"/>
        </w:rPr>
        <w:t>（此件</w:t>
      </w:r>
      <w:r>
        <w:rPr>
          <w:rFonts w:hint="eastAsia" w:ascii="仿宋_GB2312" w:hAnsi="仿宋_GB2312" w:eastAsia="仿宋_GB2312" w:cs="仿宋_GB2312"/>
          <w:color w:val="auto"/>
          <w:szCs w:val="32"/>
        </w:rPr>
        <w:t>主动公开）</w:t>
      </w:r>
    </w:p>
    <w:p w14:paraId="0917E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（联系单位：省人力资源社会保障厅养老保险处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）</w:t>
      </w:r>
    </w:p>
    <w:p w14:paraId="23F759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</w:pPr>
    </w:p>
    <w:p w14:paraId="61231B9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</w:pPr>
    </w:p>
    <w:p w14:paraId="0DF489D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FD6486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188C96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32A45F4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EE1844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78E3DA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1E676A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DFD14A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6D6AAD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3A1A0FF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9A09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16" w:leftChars="100" w:right="316" w:rightChars="10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</w:rPr>
        <w:pict>
          <v:line id="直接连接符 3" o:spid="_x0000_s2051" o:spt="20" style="position:absolute;left:0pt;margin-left:0pt;margin-top:-0.35pt;height:0pt;width:442.2pt;z-index:251661312;mso-width-relative:page;mso-height-relative:page;" filled="f" stroked="t" coordsize="21600,21600" o:gfxdata="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42yOvNQAAAAEAQAADwAAAAAAAAABACAAAAAiAAAAZHJzL2Rvd25yZXYueG1sUEsBAhQA&#10;FAAAAAgAh07iQL6rYOP2AQAA5QMAAA4AAAAAAAAAAQAgAAAAIwEAAGRycy9lMm9Eb2MueG1sUEsF&#10;BgAAAAAGAAYAWQEAAIsFAAAAAA==&#10;">
            <v:path arrowok="t"/>
            <v:fill on="f" focussize="0,0"/>
            <v:stroke weight="1.25pt" joinstyle="round"/>
            <v:imagedata o:title=""/>
            <o:lock v:ext="edit" aspectratio="f"/>
          </v:line>
        </w:pict>
      </w:r>
      <w:r>
        <w:rPr>
          <w:rFonts w:hint="eastAsia" w:ascii="仿宋_GB2312" w:hAnsi="仿宋_GB2312" w:eastAsia="仿宋_GB2312" w:cs="仿宋_GB2312"/>
          <w:color w:val="auto"/>
        </w:rPr>
        <w:pict>
          <v:line id="直接连接符 4" o:spid="_x0000_s2052" o:spt="20" style="position:absolute;left:0pt;margin-left:0pt;margin-top:29.45pt;height:0pt;width:442.2pt;z-index:251660288;mso-width-relative:page;mso-height-relative:page;" filled="f" stroked="t" coordsize="21600,21600" o:gfxdata="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F0Ont3TAAAABgEAAA8AAAAAAAAAAQAgAAAAIgAAAGRycy9kb3ducmV2LnhtbFBLAQIUABQA&#10;AAAIAIdO4kAN0O3s9QEAAOQDAAAOAAAAAAAAAAEAIAAAACIBAABkcnMvZTJvRG9jLnhtbFBLBQYA&#10;AAAABgAGAFkBAACJBQAAAAA=&#10;">
            <v:path arrowok="t"/>
            <v:fill on="f" focussize="0,0"/>
            <v:stroke weight="0.5pt" joinstyle="round"/>
            <v:imagedata o:title=""/>
            <o:lock v:ext="edit" aspectratio="f"/>
          </v:line>
        </w:pic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山东省人力资源和社会保障厅办公室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日印发</w:t>
      </w:r>
    </w:p>
    <w:p w14:paraId="2C469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16" w:leftChars="100" w:right="316" w:rightChars="10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pict>
          <v:line id="直接连接符 5" o:spid="_x0000_s2053" o:spt="20" style="position:absolute;left:0pt;margin-top:27.7pt;height:0pt;width:442.2pt;mso-position-horizontal:center;z-index:251662336;mso-width-relative:page;mso-height-relative:page;" filled="f" stroked="t" coordsize="21600,21600" o:gfxdata="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vrRCJ1gAAAAYBAAAPAAAAAAAAAAEAIAAAACIAAABkcnMvZG93bnJldi54bWxQSwEC&#10;FAAUAAAACACHTuJAqTbeRvYBAADlAwAADgAAAAAAAAABACAAAAAlAQAAZHJzL2Uyb0RvYy54bWxQ&#10;SwUGAAAAAAYABgBZAQAAjQUAAAAA&#10;">
            <v:path arrowok="t"/>
            <v:fill on="f" focussize="0,0"/>
            <v:stroke weight="1.25pt" joinstyle="round"/>
            <v:imagedata o:title=""/>
            <o:lock v:ext="edit" aspectratio="f"/>
          </v:line>
        </w:pict>
      </w:r>
      <w:r>
        <w:rPr>
          <w:rFonts w:hint="eastAsia" w:ascii="仿宋_GB2312" w:hAnsi="宋体" w:eastAsia="仿宋_GB2312"/>
          <w:color w:val="auto"/>
          <w:sz w:val="28"/>
          <w:szCs w:val="28"/>
        </w:rPr>
        <w:t>校核人：</w:t>
      </w:r>
      <w:r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  <w:t>孙栋</w:t>
      </w:r>
    </w:p>
    <w:sectPr>
      <w:footerReference r:id="rId4" w:type="first"/>
      <w:footerReference r:id="rId3" w:type="default"/>
      <w:pgSz w:w="11906" w:h="16838"/>
      <w:pgMar w:top="2098" w:right="1531" w:bottom="1814" w:left="1531" w:header="851" w:footer="1587" w:gutter="0"/>
      <w:cols w:space="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E558C">
    <w:pPr>
      <w:pStyle w:val="12"/>
      <w:jc w:val="center"/>
    </w:pPr>
    <w:r>
      <w:rPr>
        <w:sz w:val="28"/>
      </w:rPr>
      <w:pict>
        <v:shape id="_x0000_s3073" o:spid="_x0000_s3073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D09401E">
                <w:pPr>
                  <w:pStyle w:val="12"/>
                  <w:ind w:left="320" w:leftChars="100" w:right="320" w:rightChars="100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 w:cstheme="minorEastAsia"/>
                    <w:sz w:val="28"/>
                    <w:szCs w:val="28"/>
                  </w:rPr>
                  <w:t>10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1E7A2">
    <w:pPr>
      <w:pStyle w:val="1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4"/>
  <w:displayHorizontalDrawingGridEvery w:val="2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gyNDVlNzZiNTU2ZjI3YTE1NDRjYTMyNzQ2YTAxOTYifQ=="/>
  </w:docVars>
  <w:rsids>
    <w:rsidRoot w:val="3914366A"/>
    <w:rsid w:val="0000097A"/>
    <w:rsid w:val="000028F1"/>
    <w:rsid w:val="000161A2"/>
    <w:rsid w:val="0003600E"/>
    <w:rsid w:val="00042BF5"/>
    <w:rsid w:val="00050172"/>
    <w:rsid w:val="000551FD"/>
    <w:rsid w:val="000557C7"/>
    <w:rsid w:val="000710E1"/>
    <w:rsid w:val="00075573"/>
    <w:rsid w:val="000A18A1"/>
    <w:rsid w:val="000A19FE"/>
    <w:rsid w:val="000A1ADF"/>
    <w:rsid w:val="000A5D50"/>
    <w:rsid w:val="000B14D7"/>
    <w:rsid w:val="000C0F08"/>
    <w:rsid w:val="000C3585"/>
    <w:rsid w:val="000D2381"/>
    <w:rsid w:val="000D398D"/>
    <w:rsid w:val="000E6B4F"/>
    <w:rsid w:val="000E6BA6"/>
    <w:rsid w:val="000F0ADE"/>
    <w:rsid w:val="000F1831"/>
    <w:rsid w:val="001040D0"/>
    <w:rsid w:val="00105577"/>
    <w:rsid w:val="001239CD"/>
    <w:rsid w:val="00132508"/>
    <w:rsid w:val="001436CC"/>
    <w:rsid w:val="00171316"/>
    <w:rsid w:val="001735C6"/>
    <w:rsid w:val="001742C3"/>
    <w:rsid w:val="001845A6"/>
    <w:rsid w:val="00196905"/>
    <w:rsid w:val="001B467D"/>
    <w:rsid w:val="001B5D29"/>
    <w:rsid w:val="001C325E"/>
    <w:rsid w:val="001D1D39"/>
    <w:rsid w:val="001D2C35"/>
    <w:rsid w:val="001D4EFB"/>
    <w:rsid w:val="001E08BF"/>
    <w:rsid w:val="001E2793"/>
    <w:rsid w:val="001F586A"/>
    <w:rsid w:val="00200458"/>
    <w:rsid w:val="002021F7"/>
    <w:rsid w:val="00203EFC"/>
    <w:rsid w:val="00210380"/>
    <w:rsid w:val="0021126E"/>
    <w:rsid w:val="0021378F"/>
    <w:rsid w:val="002174D8"/>
    <w:rsid w:val="0022563B"/>
    <w:rsid w:val="00226335"/>
    <w:rsid w:val="00233AD7"/>
    <w:rsid w:val="00235BF3"/>
    <w:rsid w:val="002510AE"/>
    <w:rsid w:val="00254472"/>
    <w:rsid w:val="002544E2"/>
    <w:rsid w:val="00256340"/>
    <w:rsid w:val="00260BF8"/>
    <w:rsid w:val="0027011C"/>
    <w:rsid w:val="00270CA9"/>
    <w:rsid w:val="00272674"/>
    <w:rsid w:val="00274DE2"/>
    <w:rsid w:val="002772E9"/>
    <w:rsid w:val="00285E3D"/>
    <w:rsid w:val="002A18C8"/>
    <w:rsid w:val="002A46CA"/>
    <w:rsid w:val="002B5DFF"/>
    <w:rsid w:val="002D2C22"/>
    <w:rsid w:val="002D3E8A"/>
    <w:rsid w:val="002D55AA"/>
    <w:rsid w:val="002E5E84"/>
    <w:rsid w:val="00301180"/>
    <w:rsid w:val="003139C8"/>
    <w:rsid w:val="0031658C"/>
    <w:rsid w:val="00320CFB"/>
    <w:rsid w:val="00327681"/>
    <w:rsid w:val="003362AE"/>
    <w:rsid w:val="00343867"/>
    <w:rsid w:val="00343FB5"/>
    <w:rsid w:val="003440DE"/>
    <w:rsid w:val="00355A2E"/>
    <w:rsid w:val="00357FC8"/>
    <w:rsid w:val="00364AAA"/>
    <w:rsid w:val="00370007"/>
    <w:rsid w:val="00383B22"/>
    <w:rsid w:val="00385B7D"/>
    <w:rsid w:val="00392779"/>
    <w:rsid w:val="003A429E"/>
    <w:rsid w:val="003A558B"/>
    <w:rsid w:val="003B7018"/>
    <w:rsid w:val="003B7A80"/>
    <w:rsid w:val="003C6C0B"/>
    <w:rsid w:val="003D069E"/>
    <w:rsid w:val="003D1358"/>
    <w:rsid w:val="003D4926"/>
    <w:rsid w:val="003E50BE"/>
    <w:rsid w:val="003F67FD"/>
    <w:rsid w:val="00406D79"/>
    <w:rsid w:val="00407DC1"/>
    <w:rsid w:val="004144B4"/>
    <w:rsid w:val="00417A11"/>
    <w:rsid w:val="00421E8E"/>
    <w:rsid w:val="004234DF"/>
    <w:rsid w:val="00434099"/>
    <w:rsid w:val="00440E09"/>
    <w:rsid w:val="004519A6"/>
    <w:rsid w:val="00454228"/>
    <w:rsid w:val="004601E9"/>
    <w:rsid w:val="004631B6"/>
    <w:rsid w:val="00472411"/>
    <w:rsid w:val="00476472"/>
    <w:rsid w:val="0049688F"/>
    <w:rsid w:val="00497167"/>
    <w:rsid w:val="004B4F07"/>
    <w:rsid w:val="004C0F09"/>
    <w:rsid w:val="004C4DB5"/>
    <w:rsid w:val="004C76D2"/>
    <w:rsid w:val="004D48C4"/>
    <w:rsid w:val="004F2707"/>
    <w:rsid w:val="004F4527"/>
    <w:rsid w:val="004F6C06"/>
    <w:rsid w:val="0050707C"/>
    <w:rsid w:val="00520019"/>
    <w:rsid w:val="00524DA5"/>
    <w:rsid w:val="00525208"/>
    <w:rsid w:val="0054086A"/>
    <w:rsid w:val="0054159C"/>
    <w:rsid w:val="00547BCF"/>
    <w:rsid w:val="005626B8"/>
    <w:rsid w:val="00570346"/>
    <w:rsid w:val="00572179"/>
    <w:rsid w:val="00581E53"/>
    <w:rsid w:val="00586102"/>
    <w:rsid w:val="005870AD"/>
    <w:rsid w:val="00587A2D"/>
    <w:rsid w:val="0059735C"/>
    <w:rsid w:val="005975BD"/>
    <w:rsid w:val="005D014C"/>
    <w:rsid w:val="005D3804"/>
    <w:rsid w:val="005E2015"/>
    <w:rsid w:val="005E5EE4"/>
    <w:rsid w:val="005F650F"/>
    <w:rsid w:val="00624B8A"/>
    <w:rsid w:val="00631979"/>
    <w:rsid w:val="00652C66"/>
    <w:rsid w:val="00661790"/>
    <w:rsid w:val="00666CF6"/>
    <w:rsid w:val="00667F0D"/>
    <w:rsid w:val="006830C7"/>
    <w:rsid w:val="00690B86"/>
    <w:rsid w:val="006A44C0"/>
    <w:rsid w:val="006B0F0F"/>
    <w:rsid w:val="006B4C21"/>
    <w:rsid w:val="006D2AAF"/>
    <w:rsid w:val="006D39F5"/>
    <w:rsid w:val="006D46FC"/>
    <w:rsid w:val="006E221F"/>
    <w:rsid w:val="006E5EAA"/>
    <w:rsid w:val="007327D4"/>
    <w:rsid w:val="00767B60"/>
    <w:rsid w:val="00767E84"/>
    <w:rsid w:val="00781E78"/>
    <w:rsid w:val="007859E1"/>
    <w:rsid w:val="007A0BD9"/>
    <w:rsid w:val="007A0CFA"/>
    <w:rsid w:val="007B4BFE"/>
    <w:rsid w:val="007B7D9D"/>
    <w:rsid w:val="007D6370"/>
    <w:rsid w:val="007E36EC"/>
    <w:rsid w:val="007F016A"/>
    <w:rsid w:val="007F4AE6"/>
    <w:rsid w:val="008049FD"/>
    <w:rsid w:val="008063ED"/>
    <w:rsid w:val="008212AD"/>
    <w:rsid w:val="00821C91"/>
    <w:rsid w:val="00826A73"/>
    <w:rsid w:val="00832EF7"/>
    <w:rsid w:val="00835BE4"/>
    <w:rsid w:val="00836BD6"/>
    <w:rsid w:val="008522F9"/>
    <w:rsid w:val="00854ADC"/>
    <w:rsid w:val="00857E04"/>
    <w:rsid w:val="00863336"/>
    <w:rsid w:val="00865EF4"/>
    <w:rsid w:val="00867054"/>
    <w:rsid w:val="0087099C"/>
    <w:rsid w:val="00875389"/>
    <w:rsid w:val="00882CC3"/>
    <w:rsid w:val="00891569"/>
    <w:rsid w:val="008A625A"/>
    <w:rsid w:val="008B7F99"/>
    <w:rsid w:val="008C0B43"/>
    <w:rsid w:val="008D5304"/>
    <w:rsid w:val="008E191C"/>
    <w:rsid w:val="008E6065"/>
    <w:rsid w:val="008F1C38"/>
    <w:rsid w:val="0090052D"/>
    <w:rsid w:val="009030A6"/>
    <w:rsid w:val="00904051"/>
    <w:rsid w:val="0091462D"/>
    <w:rsid w:val="0091658D"/>
    <w:rsid w:val="009205DE"/>
    <w:rsid w:val="0092103F"/>
    <w:rsid w:val="00921751"/>
    <w:rsid w:val="00924D36"/>
    <w:rsid w:val="009306A5"/>
    <w:rsid w:val="00934CF1"/>
    <w:rsid w:val="0093699E"/>
    <w:rsid w:val="00937399"/>
    <w:rsid w:val="00943102"/>
    <w:rsid w:val="00955142"/>
    <w:rsid w:val="00956B46"/>
    <w:rsid w:val="00984C0A"/>
    <w:rsid w:val="009A178E"/>
    <w:rsid w:val="009A43C8"/>
    <w:rsid w:val="009A4D23"/>
    <w:rsid w:val="009A6E1D"/>
    <w:rsid w:val="009B5E71"/>
    <w:rsid w:val="009C2E8F"/>
    <w:rsid w:val="009D03FF"/>
    <w:rsid w:val="009D6C7D"/>
    <w:rsid w:val="009E02ED"/>
    <w:rsid w:val="009E3E46"/>
    <w:rsid w:val="009E73B6"/>
    <w:rsid w:val="009F76BE"/>
    <w:rsid w:val="00A03C1C"/>
    <w:rsid w:val="00A1463A"/>
    <w:rsid w:val="00A20322"/>
    <w:rsid w:val="00A21AA5"/>
    <w:rsid w:val="00A22CD4"/>
    <w:rsid w:val="00A32941"/>
    <w:rsid w:val="00A50723"/>
    <w:rsid w:val="00A52BD2"/>
    <w:rsid w:val="00A56A07"/>
    <w:rsid w:val="00A57677"/>
    <w:rsid w:val="00A617DA"/>
    <w:rsid w:val="00A70343"/>
    <w:rsid w:val="00A76CA1"/>
    <w:rsid w:val="00A7732F"/>
    <w:rsid w:val="00A936DB"/>
    <w:rsid w:val="00AA4882"/>
    <w:rsid w:val="00AA774D"/>
    <w:rsid w:val="00AC0792"/>
    <w:rsid w:val="00AD18A7"/>
    <w:rsid w:val="00AD2C8C"/>
    <w:rsid w:val="00AD70BC"/>
    <w:rsid w:val="00AD7402"/>
    <w:rsid w:val="00AE159C"/>
    <w:rsid w:val="00AE2E31"/>
    <w:rsid w:val="00AE7073"/>
    <w:rsid w:val="00AF113F"/>
    <w:rsid w:val="00AF67EF"/>
    <w:rsid w:val="00B1500C"/>
    <w:rsid w:val="00B17800"/>
    <w:rsid w:val="00B37588"/>
    <w:rsid w:val="00B52919"/>
    <w:rsid w:val="00B64F1F"/>
    <w:rsid w:val="00B663F3"/>
    <w:rsid w:val="00B66AEA"/>
    <w:rsid w:val="00B66DDA"/>
    <w:rsid w:val="00B6748D"/>
    <w:rsid w:val="00B72EAA"/>
    <w:rsid w:val="00B81D65"/>
    <w:rsid w:val="00B81FA6"/>
    <w:rsid w:val="00B85AB1"/>
    <w:rsid w:val="00B85D34"/>
    <w:rsid w:val="00BB2D0B"/>
    <w:rsid w:val="00BD217E"/>
    <w:rsid w:val="00BE5E8A"/>
    <w:rsid w:val="00BF2BF9"/>
    <w:rsid w:val="00BF5F06"/>
    <w:rsid w:val="00BF78F7"/>
    <w:rsid w:val="00BF7C47"/>
    <w:rsid w:val="00C20284"/>
    <w:rsid w:val="00C20DC3"/>
    <w:rsid w:val="00C34C39"/>
    <w:rsid w:val="00C45A01"/>
    <w:rsid w:val="00C45FEC"/>
    <w:rsid w:val="00C5566E"/>
    <w:rsid w:val="00C60852"/>
    <w:rsid w:val="00C60A49"/>
    <w:rsid w:val="00C6126A"/>
    <w:rsid w:val="00C633D7"/>
    <w:rsid w:val="00CB0C37"/>
    <w:rsid w:val="00CB30E3"/>
    <w:rsid w:val="00CB46D7"/>
    <w:rsid w:val="00CB4C68"/>
    <w:rsid w:val="00CB69AE"/>
    <w:rsid w:val="00CC02AA"/>
    <w:rsid w:val="00CC2E64"/>
    <w:rsid w:val="00CD2F45"/>
    <w:rsid w:val="00CD4006"/>
    <w:rsid w:val="00CD4AB9"/>
    <w:rsid w:val="00CD5812"/>
    <w:rsid w:val="00CD7A4B"/>
    <w:rsid w:val="00CE0365"/>
    <w:rsid w:val="00CE13DF"/>
    <w:rsid w:val="00CF6A35"/>
    <w:rsid w:val="00CF781C"/>
    <w:rsid w:val="00D03CC1"/>
    <w:rsid w:val="00D129E2"/>
    <w:rsid w:val="00D43564"/>
    <w:rsid w:val="00D468C7"/>
    <w:rsid w:val="00D475C4"/>
    <w:rsid w:val="00D67CE9"/>
    <w:rsid w:val="00D80516"/>
    <w:rsid w:val="00D84E7E"/>
    <w:rsid w:val="00DA1E77"/>
    <w:rsid w:val="00DA7D66"/>
    <w:rsid w:val="00DB7ABA"/>
    <w:rsid w:val="00DC004E"/>
    <w:rsid w:val="00DC3E0F"/>
    <w:rsid w:val="00DC7E86"/>
    <w:rsid w:val="00DD6F4A"/>
    <w:rsid w:val="00DD7B49"/>
    <w:rsid w:val="00DF1867"/>
    <w:rsid w:val="00DF61C2"/>
    <w:rsid w:val="00E062D9"/>
    <w:rsid w:val="00E13ABE"/>
    <w:rsid w:val="00E36747"/>
    <w:rsid w:val="00E50AA5"/>
    <w:rsid w:val="00E60527"/>
    <w:rsid w:val="00E6393F"/>
    <w:rsid w:val="00E64830"/>
    <w:rsid w:val="00E659DC"/>
    <w:rsid w:val="00E70044"/>
    <w:rsid w:val="00E71D7B"/>
    <w:rsid w:val="00E87D82"/>
    <w:rsid w:val="00E91E10"/>
    <w:rsid w:val="00E9221A"/>
    <w:rsid w:val="00E94024"/>
    <w:rsid w:val="00EA3B46"/>
    <w:rsid w:val="00EB0212"/>
    <w:rsid w:val="00EC571D"/>
    <w:rsid w:val="00EE1550"/>
    <w:rsid w:val="00F027E0"/>
    <w:rsid w:val="00F048F9"/>
    <w:rsid w:val="00F1489E"/>
    <w:rsid w:val="00F15E40"/>
    <w:rsid w:val="00F24A8C"/>
    <w:rsid w:val="00F55E42"/>
    <w:rsid w:val="00F701E2"/>
    <w:rsid w:val="00F70535"/>
    <w:rsid w:val="00F8419C"/>
    <w:rsid w:val="00FB13C0"/>
    <w:rsid w:val="00FB1BDE"/>
    <w:rsid w:val="00FB6EEB"/>
    <w:rsid w:val="00FC0386"/>
    <w:rsid w:val="00FC247F"/>
    <w:rsid w:val="00FC35AA"/>
    <w:rsid w:val="00FC4A62"/>
    <w:rsid w:val="00FC4FD1"/>
    <w:rsid w:val="00FC512A"/>
    <w:rsid w:val="00FD224E"/>
    <w:rsid w:val="00FD72B6"/>
    <w:rsid w:val="00FE4E96"/>
    <w:rsid w:val="00FF757C"/>
    <w:rsid w:val="013F1CC2"/>
    <w:rsid w:val="03047B7F"/>
    <w:rsid w:val="037373D9"/>
    <w:rsid w:val="03772BBD"/>
    <w:rsid w:val="03E53C9A"/>
    <w:rsid w:val="04526A14"/>
    <w:rsid w:val="050E3B4F"/>
    <w:rsid w:val="064C5BC6"/>
    <w:rsid w:val="069653CA"/>
    <w:rsid w:val="08A30190"/>
    <w:rsid w:val="08AA53CB"/>
    <w:rsid w:val="08C75113"/>
    <w:rsid w:val="0A2E0844"/>
    <w:rsid w:val="0AC833AF"/>
    <w:rsid w:val="0B126B72"/>
    <w:rsid w:val="0B613F21"/>
    <w:rsid w:val="0E355A5F"/>
    <w:rsid w:val="0F6217BB"/>
    <w:rsid w:val="0F7665DA"/>
    <w:rsid w:val="10AC404B"/>
    <w:rsid w:val="11A13B8C"/>
    <w:rsid w:val="11AD1080"/>
    <w:rsid w:val="11CB2D73"/>
    <w:rsid w:val="11F345E2"/>
    <w:rsid w:val="12224D50"/>
    <w:rsid w:val="12F72BE4"/>
    <w:rsid w:val="14145651"/>
    <w:rsid w:val="15495D0D"/>
    <w:rsid w:val="16476399"/>
    <w:rsid w:val="16BF533F"/>
    <w:rsid w:val="180B5242"/>
    <w:rsid w:val="18AB4A43"/>
    <w:rsid w:val="19494EC5"/>
    <w:rsid w:val="19B614A3"/>
    <w:rsid w:val="1A661DAE"/>
    <w:rsid w:val="1A962F91"/>
    <w:rsid w:val="1B6D4FBC"/>
    <w:rsid w:val="1BF41E2A"/>
    <w:rsid w:val="1E0A4259"/>
    <w:rsid w:val="1E5F6099"/>
    <w:rsid w:val="1F4610D9"/>
    <w:rsid w:val="201272DE"/>
    <w:rsid w:val="20977C93"/>
    <w:rsid w:val="2286228A"/>
    <w:rsid w:val="244D164C"/>
    <w:rsid w:val="25512015"/>
    <w:rsid w:val="25D565A0"/>
    <w:rsid w:val="25E11955"/>
    <w:rsid w:val="26707227"/>
    <w:rsid w:val="267D1270"/>
    <w:rsid w:val="26D95A8B"/>
    <w:rsid w:val="27D03BD2"/>
    <w:rsid w:val="27D85785"/>
    <w:rsid w:val="27E4721F"/>
    <w:rsid w:val="281560B7"/>
    <w:rsid w:val="284E7F2E"/>
    <w:rsid w:val="287C0B94"/>
    <w:rsid w:val="28AD5878"/>
    <w:rsid w:val="29107A33"/>
    <w:rsid w:val="293840E8"/>
    <w:rsid w:val="2A681C3E"/>
    <w:rsid w:val="2ACE1139"/>
    <w:rsid w:val="2ACE4D86"/>
    <w:rsid w:val="2BE94E19"/>
    <w:rsid w:val="2C1218DE"/>
    <w:rsid w:val="2C4F24D5"/>
    <w:rsid w:val="2C6A30F0"/>
    <w:rsid w:val="2C6B60C2"/>
    <w:rsid w:val="2D5C4D78"/>
    <w:rsid w:val="2DDE0CCA"/>
    <w:rsid w:val="2DFC227D"/>
    <w:rsid w:val="2EBD324F"/>
    <w:rsid w:val="2F241716"/>
    <w:rsid w:val="2F3939DA"/>
    <w:rsid w:val="30BE102A"/>
    <w:rsid w:val="311017C9"/>
    <w:rsid w:val="311D0CFF"/>
    <w:rsid w:val="31594303"/>
    <w:rsid w:val="31EF18D8"/>
    <w:rsid w:val="321574BA"/>
    <w:rsid w:val="32EA73B1"/>
    <w:rsid w:val="33DD3CB8"/>
    <w:rsid w:val="344A3DA4"/>
    <w:rsid w:val="350A3D5D"/>
    <w:rsid w:val="354462BC"/>
    <w:rsid w:val="359A2850"/>
    <w:rsid w:val="35A40E50"/>
    <w:rsid w:val="366D2DE2"/>
    <w:rsid w:val="36AE0F21"/>
    <w:rsid w:val="372D3032"/>
    <w:rsid w:val="37390F62"/>
    <w:rsid w:val="3785093E"/>
    <w:rsid w:val="37B55396"/>
    <w:rsid w:val="37BC5AD7"/>
    <w:rsid w:val="38E93840"/>
    <w:rsid w:val="3914366A"/>
    <w:rsid w:val="392F4087"/>
    <w:rsid w:val="3C2A22EA"/>
    <w:rsid w:val="3CCA65A0"/>
    <w:rsid w:val="3CDC23E6"/>
    <w:rsid w:val="3D1D4425"/>
    <w:rsid w:val="3FD37E62"/>
    <w:rsid w:val="40957F6A"/>
    <w:rsid w:val="41B93186"/>
    <w:rsid w:val="42283FF2"/>
    <w:rsid w:val="43162182"/>
    <w:rsid w:val="434D462D"/>
    <w:rsid w:val="44176180"/>
    <w:rsid w:val="44520E3F"/>
    <w:rsid w:val="44B87F57"/>
    <w:rsid w:val="45367EA2"/>
    <w:rsid w:val="46415F51"/>
    <w:rsid w:val="47223AEC"/>
    <w:rsid w:val="47A23A5D"/>
    <w:rsid w:val="48CA7928"/>
    <w:rsid w:val="48EB44A5"/>
    <w:rsid w:val="49137A81"/>
    <w:rsid w:val="4AB43C22"/>
    <w:rsid w:val="4AC16C84"/>
    <w:rsid w:val="4B3738DC"/>
    <w:rsid w:val="4B4E4018"/>
    <w:rsid w:val="4B5301A7"/>
    <w:rsid w:val="4C2C3467"/>
    <w:rsid w:val="4C86512C"/>
    <w:rsid w:val="4C9D536F"/>
    <w:rsid w:val="4CCF4619"/>
    <w:rsid w:val="4D4B784C"/>
    <w:rsid w:val="4DC8008E"/>
    <w:rsid w:val="4E697418"/>
    <w:rsid w:val="4ED64887"/>
    <w:rsid w:val="4FF34F01"/>
    <w:rsid w:val="513930CB"/>
    <w:rsid w:val="51686410"/>
    <w:rsid w:val="52181F0F"/>
    <w:rsid w:val="528F2AC7"/>
    <w:rsid w:val="53A94D0A"/>
    <w:rsid w:val="54310050"/>
    <w:rsid w:val="54A6150F"/>
    <w:rsid w:val="552C5D3B"/>
    <w:rsid w:val="55871B74"/>
    <w:rsid w:val="56C0396F"/>
    <w:rsid w:val="56D57390"/>
    <w:rsid w:val="57027A6D"/>
    <w:rsid w:val="571132F2"/>
    <w:rsid w:val="579235FB"/>
    <w:rsid w:val="57A9587B"/>
    <w:rsid w:val="57B06CF7"/>
    <w:rsid w:val="57B95415"/>
    <w:rsid w:val="57BE101B"/>
    <w:rsid w:val="57E94953"/>
    <w:rsid w:val="581758A0"/>
    <w:rsid w:val="586B4C48"/>
    <w:rsid w:val="589460AE"/>
    <w:rsid w:val="591C2557"/>
    <w:rsid w:val="59BE0DE3"/>
    <w:rsid w:val="59E51D96"/>
    <w:rsid w:val="5A0B2AA0"/>
    <w:rsid w:val="5A4237C2"/>
    <w:rsid w:val="5AAE49A3"/>
    <w:rsid w:val="5AE71A4E"/>
    <w:rsid w:val="5B5B6F07"/>
    <w:rsid w:val="5BC51AD3"/>
    <w:rsid w:val="5C2C684A"/>
    <w:rsid w:val="5C7D0753"/>
    <w:rsid w:val="5D1E47D6"/>
    <w:rsid w:val="5E6B7DAD"/>
    <w:rsid w:val="5E7303EE"/>
    <w:rsid w:val="5E8F179A"/>
    <w:rsid w:val="5EDB1644"/>
    <w:rsid w:val="5F114598"/>
    <w:rsid w:val="5FDE06A4"/>
    <w:rsid w:val="5FFF7EB1"/>
    <w:rsid w:val="608C4FB0"/>
    <w:rsid w:val="611C1AA2"/>
    <w:rsid w:val="611C4188"/>
    <w:rsid w:val="61B31A29"/>
    <w:rsid w:val="632740FE"/>
    <w:rsid w:val="633B4BA8"/>
    <w:rsid w:val="641F663F"/>
    <w:rsid w:val="64563A56"/>
    <w:rsid w:val="647933E3"/>
    <w:rsid w:val="64E257EB"/>
    <w:rsid w:val="65767E03"/>
    <w:rsid w:val="666A5FB2"/>
    <w:rsid w:val="676B2150"/>
    <w:rsid w:val="67D47FD7"/>
    <w:rsid w:val="67EB44AF"/>
    <w:rsid w:val="69594684"/>
    <w:rsid w:val="699F7E6E"/>
    <w:rsid w:val="6A08379A"/>
    <w:rsid w:val="6AB06E98"/>
    <w:rsid w:val="6B2D7A0E"/>
    <w:rsid w:val="6B5F58A3"/>
    <w:rsid w:val="6B774BC7"/>
    <w:rsid w:val="6B94046B"/>
    <w:rsid w:val="6CE37353"/>
    <w:rsid w:val="6D3562CF"/>
    <w:rsid w:val="6D404034"/>
    <w:rsid w:val="6E0C752F"/>
    <w:rsid w:val="6F5E4219"/>
    <w:rsid w:val="6F8A5598"/>
    <w:rsid w:val="6FC023E1"/>
    <w:rsid w:val="70387017"/>
    <w:rsid w:val="7091303E"/>
    <w:rsid w:val="71102D8C"/>
    <w:rsid w:val="71103C79"/>
    <w:rsid w:val="713D2E17"/>
    <w:rsid w:val="72507EEC"/>
    <w:rsid w:val="72A51424"/>
    <w:rsid w:val="733E268F"/>
    <w:rsid w:val="737A6284"/>
    <w:rsid w:val="74441F35"/>
    <w:rsid w:val="74A444AB"/>
    <w:rsid w:val="74CE4179"/>
    <w:rsid w:val="74FD4DFC"/>
    <w:rsid w:val="753A4D23"/>
    <w:rsid w:val="75FB2D5C"/>
    <w:rsid w:val="768309CB"/>
    <w:rsid w:val="76F12000"/>
    <w:rsid w:val="77393FF3"/>
    <w:rsid w:val="788A0BEA"/>
    <w:rsid w:val="78A033C3"/>
    <w:rsid w:val="792E3438"/>
    <w:rsid w:val="796924A0"/>
    <w:rsid w:val="797B2B0B"/>
    <w:rsid w:val="799B73B3"/>
    <w:rsid w:val="7A761AEF"/>
    <w:rsid w:val="7A834D41"/>
    <w:rsid w:val="7A96762C"/>
    <w:rsid w:val="7ACF6023"/>
    <w:rsid w:val="7AE95D72"/>
    <w:rsid w:val="7AFC3222"/>
    <w:rsid w:val="7DD6072F"/>
    <w:rsid w:val="7E871973"/>
    <w:rsid w:val="7FFF98B9"/>
    <w:rsid w:val="BF75A5D5"/>
    <w:rsid w:val="D0EF8646"/>
    <w:rsid w:val="FBFF7D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qFormat="1" w:uiPriority="0" w:semiHidden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qFormat="1" w:unhideWhenUsed="0" w:uiPriority="0" w:semiHidden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paragraph" w:styleId="5">
    <w:name w:val="heading 1"/>
    <w:basedOn w:val="1"/>
    <w:next w:val="1"/>
    <w:link w:val="2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">
    <w:name w:val="heading 3"/>
    <w:basedOn w:val="1"/>
    <w:next w:val="1"/>
    <w:link w:val="2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link w:val="27"/>
    <w:qFormat/>
    <w:uiPriority w:val="0"/>
    <w:pPr>
      <w:ind w:firstLine="420" w:firstLineChars="200"/>
    </w:pPr>
    <w:rPr>
      <w:rFonts w:ascii="Calibri" w:hAnsi="Calibri" w:eastAsia="仿宋_GB2312" w:cs="仿宋_GB2312"/>
      <w:szCs w:val="32"/>
    </w:rPr>
  </w:style>
  <w:style w:type="paragraph" w:styleId="3">
    <w:name w:val="Body Text Indent"/>
    <w:basedOn w:val="1"/>
    <w:link w:val="26"/>
    <w:unhideWhenUsed/>
    <w:qFormat/>
    <w:uiPriority w:val="0"/>
    <w:pPr>
      <w:spacing w:after="120"/>
      <w:ind w:left="420" w:leftChars="20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styleId="7">
    <w:name w:val="table of authorities"/>
    <w:basedOn w:val="1"/>
    <w:next w:val="1"/>
    <w:qFormat/>
    <w:uiPriority w:val="0"/>
    <w:pPr>
      <w:ind w:left="420" w:leftChars="200"/>
    </w:pPr>
  </w:style>
  <w:style w:type="paragraph" w:styleId="8">
    <w:name w:val="Normal Indent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paragraph" w:styleId="9">
    <w:name w:val="index 5"/>
    <w:basedOn w:val="1"/>
    <w:next w:val="1"/>
    <w:unhideWhenUsed/>
    <w:qFormat/>
    <w:uiPriority w:val="0"/>
    <w:pPr>
      <w:ind w:left="1680"/>
    </w:pPr>
  </w:style>
  <w:style w:type="paragraph" w:styleId="10">
    <w:name w:val="Body Text"/>
    <w:basedOn w:val="1"/>
    <w:next w:val="1"/>
    <w:qFormat/>
    <w:uiPriority w:val="0"/>
    <w:pPr>
      <w:suppressAutoHyphens/>
      <w:spacing w:after="140" w:line="276" w:lineRule="auto"/>
    </w:pPr>
    <w:rPr>
      <w:rFonts w:ascii="Calibri" w:hAnsi="Calibri" w:eastAsia="仿宋_GB2312" w:cs="黑体"/>
      <w:szCs w:val="44"/>
    </w:rPr>
  </w:style>
  <w:style w:type="paragraph" w:styleId="11">
    <w:name w:val="Balloon Text"/>
    <w:basedOn w:val="1"/>
    <w:link w:val="24"/>
    <w:qFormat/>
    <w:uiPriority w:val="0"/>
    <w:rPr>
      <w:sz w:val="18"/>
      <w:szCs w:val="18"/>
    </w:rPr>
  </w:style>
  <w:style w:type="paragraph" w:styleId="12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page number"/>
    <w:basedOn w:val="17"/>
    <w:qFormat/>
    <w:uiPriority w:val="0"/>
  </w:style>
  <w:style w:type="character" w:styleId="19">
    <w:name w:val="Emphasis"/>
    <w:basedOn w:val="17"/>
    <w:qFormat/>
    <w:uiPriority w:val="20"/>
    <w:rPr>
      <w:i/>
      <w:iCs/>
    </w:rPr>
  </w:style>
  <w:style w:type="character" w:customStyle="1" w:styleId="20">
    <w:name w:val="页脚 Char"/>
    <w:basedOn w:val="17"/>
    <w:link w:val="12"/>
    <w:qFormat/>
    <w:uiPriority w:val="0"/>
    <w:rPr>
      <w:kern w:val="2"/>
      <w:sz w:val="18"/>
      <w:szCs w:val="18"/>
    </w:rPr>
  </w:style>
  <w:style w:type="character" w:customStyle="1" w:styleId="21">
    <w:name w:val="标题 3 Char"/>
    <w:basedOn w:val="17"/>
    <w:link w:val="6"/>
    <w:qFormat/>
    <w:uiPriority w:val="9"/>
    <w:rPr>
      <w:rFonts w:ascii="宋体" w:hAnsi="宋体" w:eastAsia="宋体" w:cs="宋体"/>
      <w:b/>
      <w:bCs/>
      <w:sz w:val="27"/>
      <w:szCs w:val="27"/>
    </w:rPr>
  </w:style>
  <w:style w:type="character" w:customStyle="1" w:styleId="22">
    <w:name w:val="标题 1 Char"/>
    <w:basedOn w:val="17"/>
    <w:link w:val="5"/>
    <w:qFormat/>
    <w:uiPriority w:val="0"/>
    <w:rPr>
      <w:b/>
      <w:bCs/>
      <w:kern w:val="44"/>
      <w:sz w:val="44"/>
      <w:szCs w:val="44"/>
    </w:rPr>
  </w:style>
  <w:style w:type="character" w:customStyle="1" w:styleId="23">
    <w:name w:val="页眉 Char"/>
    <w:basedOn w:val="17"/>
    <w:link w:val="13"/>
    <w:qFormat/>
    <w:uiPriority w:val="0"/>
    <w:rPr>
      <w:kern w:val="2"/>
      <w:sz w:val="18"/>
      <w:szCs w:val="18"/>
    </w:rPr>
  </w:style>
  <w:style w:type="character" w:customStyle="1" w:styleId="24">
    <w:name w:val="批注框文本 Char"/>
    <w:basedOn w:val="17"/>
    <w:link w:val="11"/>
    <w:qFormat/>
    <w:uiPriority w:val="0"/>
    <w:rPr>
      <w:kern w:val="2"/>
      <w:sz w:val="18"/>
      <w:szCs w:val="18"/>
    </w:rPr>
  </w:style>
  <w:style w:type="paragraph" w:customStyle="1" w:styleId="25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26">
    <w:name w:val="正文文本缩进 Char"/>
    <w:basedOn w:val="17"/>
    <w:link w:val="3"/>
    <w:semiHidden/>
    <w:qFormat/>
    <w:uiPriority w:val="0"/>
    <w:rPr>
      <w:kern w:val="2"/>
      <w:sz w:val="21"/>
      <w:szCs w:val="22"/>
    </w:rPr>
  </w:style>
  <w:style w:type="character" w:customStyle="1" w:styleId="27">
    <w:name w:val="正文首行缩进 2 Char"/>
    <w:basedOn w:val="26"/>
    <w:link w:val="2"/>
    <w:qFormat/>
    <w:uiPriority w:val="0"/>
    <w:rPr>
      <w:rFonts w:ascii="Calibri" w:hAnsi="Calibri" w:eastAsia="仿宋_GB2312" w:cs="仿宋_GB2312"/>
      <w:kern w:val="2"/>
      <w:sz w:val="32"/>
      <w:szCs w:val="32"/>
    </w:rPr>
  </w:style>
  <w:style w:type="paragraph" w:customStyle="1" w:styleId="28">
    <w:name w:val="正文 New"/>
    <w:next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  <customShpInfo spid="_x0000_s2051"/>
    <customShpInfo spid="_x0000_s2052"/>
    <customShpInfo spid="_x0000_s205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F1F900-22CA-41BC-B7C7-02F8220564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348</Words>
  <Characters>372</Characters>
  <Lines>35</Lines>
  <Paragraphs>10</Paragraphs>
  <TotalTime>2</TotalTime>
  <ScaleCrop>false</ScaleCrop>
  <LinksUpToDate>false</LinksUpToDate>
  <CharactersWithSpaces>373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2025-07-11T21:03:00Z</dcterms:created>
  <dc:creator>苏</dc:creator>
  <cp:lastModifiedBy>婁超羣</cp:lastModifiedBy>
  <cp:lastPrinted>2025-07-11T10:40:00Z</cp:lastPrinted>
  <dcterms:modified xsi:type="dcterms:W3CDTF">2025-07-24T02:20:44Z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D170818FE60C4DD9A952C7194CE5026D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