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316" w:firstLineChars="100"/>
        <w:jc w:val="center"/>
        <w:textAlignment w:val="auto"/>
        <w:outlineLvl w:val="9"/>
        <w:rPr>
          <w:rFonts w:hint="default" w:ascii="Times New Roman" w:hAnsi="Times New Roman" w:eastAsia="仿宋_GB2312" w:cs="Times New Roman"/>
          <w:bCs/>
        </w:rPr>
      </w:pP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316" w:firstLineChars="100"/>
        <w:jc w:val="center"/>
        <w:textAlignment w:val="auto"/>
        <w:outlineLvl w:val="9"/>
        <w:rPr>
          <w:rFonts w:hint="default" w:ascii="Times New Roman" w:hAnsi="Times New Roman" w:eastAsia="仿宋_GB2312" w:cs="Times New Roman"/>
          <w:bCs/>
        </w:rPr>
      </w:pP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jc w:val="center"/>
        <w:textAlignment w:val="auto"/>
        <w:outlineLvl w:val="9"/>
        <w:rPr>
          <w:rFonts w:hint="eastAsia" w:ascii="仿宋_GB2312" w:hAnsi="仿宋_GB2312" w:eastAsia="仿宋_GB2312" w:cs="仿宋_GB2312"/>
          <w:bCs/>
        </w:rPr>
      </w:pPr>
      <w:r>
        <w:rPr>
          <w:rFonts w:hint="eastAsia" w:ascii="仿宋_GB2312" w:hAnsi="仿宋_GB2312" w:eastAsia="仿宋_GB2312" w:cs="仿宋_GB2312"/>
          <w:bCs/>
        </w:rPr>
        <w:t>鲁人社发〔202</w:t>
      </w:r>
      <w:r>
        <w:rPr>
          <w:rFonts w:hint="eastAsia" w:ascii="仿宋_GB2312" w:hAnsi="仿宋_GB2312" w:eastAsia="仿宋_GB2312" w:cs="仿宋_GB2312"/>
          <w:bCs/>
          <w:lang w:val="en-US" w:eastAsia="zh-CN"/>
        </w:rPr>
        <w:t>5</w:t>
      </w:r>
      <w:r>
        <w:rPr>
          <w:rFonts w:hint="eastAsia" w:ascii="仿宋_GB2312" w:hAnsi="仿宋_GB2312" w:eastAsia="仿宋_GB2312" w:cs="仿宋_GB2312"/>
          <w:bCs/>
        </w:rPr>
        <w:t>〕</w:t>
      </w:r>
      <w:r>
        <w:rPr>
          <w:rFonts w:hint="eastAsia" w:ascii="仿宋_GB2312" w:hAnsi="仿宋_GB2312" w:eastAsia="仿宋_GB2312" w:cs="仿宋_GB2312"/>
          <w:bCs/>
          <w:lang w:val="en-US" w:eastAsia="zh-CN"/>
        </w:rPr>
        <w:t>9</w:t>
      </w:r>
      <w:r>
        <w:rPr>
          <w:rFonts w:hint="eastAsia" w:ascii="仿宋_GB2312" w:hAnsi="仿宋_GB2312" w:eastAsia="仿宋_GB2312" w:cs="仿宋_GB2312"/>
          <w:bCs/>
        </w:rPr>
        <w:t>号</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default" w:ascii="Times New Roman" w:hAnsi="Times New Roman" w:cs="Times New Roman"/>
          <w:sz w:val="44"/>
          <w:lang w:val="zh-CN"/>
        </w:rPr>
      </w:pP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rPr>
          <w:rFonts w:hint="eastAsia" w:ascii="方正小标宋简体" w:hAnsi="方正小标宋简体" w:eastAsia="方正小标宋简体" w:cs="方正小标宋简体"/>
          <w:b w:val="0"/>
          <w:bCs w:val="0"/>
          <w:kern w:val="2"/>
          <w:sz w:val="44"/>
          <w:szCs w:val="44"/>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eastAsia" w:ascii="方正小标宋简体" w:hAnsi="方正小标宋简体" w:eastAsia="方正小标宋简体" w:cs="方正小标宋简体"/>
          <w:b w:val="0"/>
          <w:bCs w:val="0"/>
          <w:color w:val="auto"/>
          <w:kern w:val="2"/>
          <w:sz w:val="44"/>
          <w:szCs w:val="44"/>
          <w:highlight w:val="none"/>
          <w:lang w:val="en-US" w:eastAsia="zh-CN" w:bidi="ar-SA"/>
        </w:rPr>
      </w:pPr>
      <w:r>
        <w:rPr>
          <w:rFonts w:hint="eastAsia" w:ascii="方正小标宋简体" w:hAnsi="方正小标宋简体" w:eastAsia="方正小标宋简体" w:cs="方正小标宋简体"/>
          <w:b w:val="0"/>
          <w:bCs w:val="0"/>
          <w:color w:val="auto"/>
          <w:kern w:val="2"/>
          <w:sz w:val="44"/>
          <w:szCs w:val="44"/>
          <w:highlight w:val="none"/>
          <w:lang w:val="en-US" w:eastAsia="zh" w:bidi="ar-SA"/>
        </w:rPr>
        <w:t>山东省人力资源和社会保障厅等14部门</w:t>
      </w:r>
      <w:r>
        <w:rPr>
          <w:rFonts w:hint="eastAsia" w:ascii="方正小标宋简体" w:hAnsi="方正小标宋简体" w:eastAsia="方正小标宋简体" w:cs="方正小标宋简体"/>
          <w:b w:val="0"/>
          <w:bCs w:val="0"/>
          <w:color w:val="auto"/>
          <w:kern w:val="2"/>
          <w:sz w:val="44"/>
          <w:szCs w:val="44"/>
          <w:highlight w:val="none"/>
          <w:lang w:val="en-US" w:eastAsia="zh-CN" w:bidi="ar-SA"/>
        </w:rPr>
        <w:t>关于</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eastAsia" w:ascii="方正小标宋简体" w:hAnsi="方正小标宋简体" w:eastAsia="方正小标宋简体" w:cs="方正小标宋简体"/>
          <w:b w:val="0"/>
          <w:bCs w:val="0"/>
          <w:color w:val="auto"/>
          <w:kern w:val="2"/>
          <w:sz w:val="44"/>
          <w:szCs w:val="44"/>
          <w:highlight w:val="none"/>
          <w:lang w:val="en-US" w:eastAsia="zh-CN" w:bidi="ar-SA"/>
        </w:rPr>
      </w:pPr>
      <w:r>
        <w:rPr>
          <w:rFonts w:hint="eastAsia" w:ascii="方正小标宋简体" w:hAnsi="方正小标宋简体" w:eastAsia="方正小标宋简体" w:cs="方正小标宋简体"/>
          <w:b w:val="0"/>
          <w:bCs w:val="0"/>
          <w:color w:val="auto"/>
          <w:kern w:val="2"/>
          <w:sz w:val="44"/>
          <w:szCs w:val="44"/>
          <w:highlight w:val="none"/>
          <w:lang w:val="en-US" w:eastAsia="zh-CN" w:bidi="ar-SA"/>
        </w:rPr>
        <w:t>塑强“乐业山东”服务品牌构建高质量</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eastAsia" w:ascii="方正小标宋简体" w:hAnsi="方正小标宋简体" w:eastAsia="方正小标宋简体" w:cs="方正小标宋简体"/>
          <w:b w:val="0"/>
          <w:bCs w:val="0"/>
          <w:color w:val="auto"/>
          <w:kern w:val="2"/>
          <w:sz w:val="44"/>
          <w:szCs w:val="44"/>
          <w:highlight w:val="none"/>
          <w:lang w:val="en-US" w:eastAsia="zh-CN" w:bidi="ar-SA"/>
        </w:rPr>
      </w:pPr>
      <w:r>
        <w:rPr>
          <w:rFonts w:hint="eastAsia" w:ascii="方正小标宋简体" w:hAnsi="方正小标宋简体" w:eastAsia="方正小标宋简体" w:cs="方正小标宋简体"/>
          <w:b w:val="0"/>
          <w:bCs w:val="0"/>
          <w:color w:val="auto"/>
          <w:kern w:val="2"/>
          <w:sz w:val="44"/>
          <w:szCs w:val="44"/>
          <w:highlight w:val="none"/>
          <w:lang w:val="en-US" w:eastAsia="zh-CN" w:bidi="ar-SA"/>
        </w:rPr>
        <w:t>就业创业服务体系的实施意见</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b w:val="0"/>
          <w:bCs w:val="0"/>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ascii="仿宋_GB2312" w:hAnsi="仿宋_GB2312" w:eastAsia="仿宋_GB2312" w:cs="仿宋_GB2312"/>
          <w:b w:val="0"/>
          <w:bCs w:val="0"/>
          <w:color w:val="auto"/>
          <w:sz w:val="32"/>
          <w:szCs w:val="32"/>
          <w:lang w:val="en-US" w:eastAsia="zh-CN"/>
        </w:rPr>
      </w:pPr>
      <w:bookmarkStart w:id="0" w:name="_GoBack"/>
      <w:bookmarkEnd w:id="0"/>
      <w:r>
        <w:rPr>
          <w:rFonts w:hint="eastAsia" w:ascii="仿宋_GB2312" w:hAnsi="仿宋_GB2312" w:eastAsia="仿宋_GB2312" w:cs="仿宋_GB2312"/>
          <w:b w:val="0"/>
          <w:bCs w:val="0"/>
          <w:color w:val="auto"/>
          <w:sz w:val="32"/>
          <w:szCs w:val="32"/>
          <w:lang w:val="en-US" w:eastAsia="zh-CN"/>
        </w:rPr>
        <w:t>为贯彻落实党中央、国务院关于构建高校毕业生等群体高质量就业创业服务体系的部署要求，健全“5+5+1”就业创业服务体系</w:t>
      </w:r>
      <w:r>
        <w:rPr>
          <w:rFonts w:hint="eastAsia" w:ascii="宋体" w:hAnsi="宋体" w:eastAsia="宋体" w:cs="宋体"/>
          <w:b w:val="0"/>
          <w:bCs w:val="0"/>
          <w:color w:val="auto"/>
          <w:sz w:val="32"/>
          <w:szCs w:val="32"/>
          <w:lang w:val="en-US" w:eastAsia="zh-CN"/>
        </w:rPr>
        <w:t>〔</w:t>
      </w:r>
      <w:r>
        <w:rPr>
          <w:rFonts w:hint="eastAsia" w:ascii="仿宋_GB2312" w:hAnsi="仿宋_GB2312" w:eastAsia="仿宋_GB2312" w:cs="仿宋_GB2312"/>
          <w:b w:val="0"/>
          <w:bCs w:val="0"/>
          <w:color w:val="auto"/>
          <w:sz w:val="32"/>
          <w:szCs w:val="32"/>
          <w:lang w:val="en-US" w:eastAsia="zh-CN"/>
        </w:rPr>
        <w:t>省、市、县、</w:t>
      </w:r>
      <w:r>
        <w:rPr>
          <w:rFonts w:hint="eastAsia" w:ascii="仿宋_GB2312" w:hAnsi="仿宋_GB2312" w:eastAsia="仿宋_GB2312" w:cs="仿宋_GB2312"/>
          <w:b w:val="0"/>
          <w:bCs w:val="0"/>
          <w:color w:val="auto"/>
          <w:kern w:val="44"/>
          <w:sz w:val="32"/>
          <w:szCs w:val="32"/>
          <w:lang w:val="en-US" w:eastAsia="zh-CN" w:bidi="ar-SA"/>
        </w:rPr>
        <w:t>乡镇（街道）、村（社区）</w:t>
      </w:r>
      <w:r>
        <w:rPr>
          <w:rFonts w:hint="eastAsia" w:ascii="仿宋_GB2312" w:hAnsi="仿宋_GB2312" w:eastAsia="仿宋_GB2312" w:cs="仿宋_GB2312"/>
          <w:b w:val="0"/>
          <w:bCs w:val="0"/>
          <w:color w:val="auto"/>
          <w:sz w:val="32"/>
          <w:szCs w:val="32"/>
          <w:lang w:val="en-US" w:eastAsia="zh-CN"/>
        </w:rPr>
        <w:t>五级机构（站点），高校毕业生、农村务工人员、灵活就业人员、退役军人、重点关爱人群五类群体，一体化“数智服务”模式</w:t>
      </w:r>
      <w:r>
        <w:rPr>
          <w:rFonts w:hint="eastAsia" w:ascii="宋体" w:hAnsi="宋体" w:eastAsia="宋体" w:cs="宋体"/>
          <w:b w:val="0"/>
          <w:bCs w:val="0"/>
          <w:color w:val="auto"/>
          <w:sz w:val="32"/>
          <w:szCs w:val="32"/>
          <w:lang w:val="en-US" w:eastAsia="zh-CN"/>
        </w:rPr>
        <w:t>〕</w:t>
      </w:r>
      <w:r>
        <w:rPr>
          <w:rFonts w:hint="eastAsia" w:ascii="仿宋_GB2312" w:hAnsi="仿宋_GB2312" w:eastAsia="仿宋_GB2312" w:cs="仿宋_GB2312"/>
          <w:b w:val="0"/>
          <w:bCs w:val="0"/>
          <w:color w:val="auto"/>
          <w:sz w:val="32"/>
          <w:szCs w:val="32"/>
          <w:lang w:val="en-US" w:eastAsia="zh-CN"/>
        </w:rPr>
        <w:t>，持续塑强“乐业山东”服务品牌，推动建设高质量充分就业省份，现提出如下实施意见。</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default"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一、健全分级布局就业创业服务网络</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楷体_GB2312" w:hAnsi="楷体_GB2312" w:eastAsia="楷体_GB2312" w:cs="楷体_GB2312"/>
          <w:b w:val="0"/>
          <w:bCs w:val="0"/>
          <w:color w:val="auto"/>
          <w:sz w:val="32"/>
          <w:szCs w:val="32"/>
          <w:lang w:val="en-US" w:eastAsia="zh-CN"/>
        </w:rPr>
        <w:t>（一）省级层面集中打造就业创业服务省域中心。</w:t>
      </w:r>
      <w:r>
        <w:rPr>
          <w:rFonts w:hint="eastAsia" w:ascii="仿宋_GB2312" w:hAnsi="仿宋_GB2312" w:eastAsia="仿宋_GB2312" w:cs="仿宋_GB2312"/>
          <w:b w:val="0"/>
          <w:bCs w:val="0"/>
          <w:color w:val="auto"/>
          <w:sz w:val="32"/>
          <w:szCs w:val="32"/>
          <w:lang w:val="en-US" w:eastAsia="zh-CN"/>
        </w:rPr>
        <w:t>围绕服务黄河流域生态保护和高质量发展、济青都市圈协同联动等区域协调发展战略、区域重大战略，打造青年人才交流区，建设黄河流域大学生创业孵化中心（济南）、黄河流域青年就业创业基地（青岛），推进济南、青岛、烟台国家级人力资源服务产业园高质量发展。（</w:t>
      </w:r>
      <w:r>
        <w:rPr>
          <w:rFonts w:hint="eastAsia" w:ascii="楷体_GB2312" w:hAnsi="楷体_GB2312" w:eastAsia="楷体_GB2312" w:cs="楷体_GB2312"/>
          <w:b w:val="0"/>
          <w:bCs w:val="0"/>
          <w:color w:val="auto"/>
          <w:sz w:val="32"/>
          <w:szCs w:val="32"/>
          <w:lang w:val="en-US" w:eastAsia="zh-CN"/>
        </w:rPr>
        <w:t>省人力资源社会保障厅</w:t>
      </w:r>
      <w:r>
        <w:rPr>
          <w:rFonts w:hint="eastAsia" w:ascii="楷体_GB2312" w:hAnsi="楷体_GB2312" w:eastAsia="楷体_GB2312" w:cs="楷体_GB2312"/>
          <w:b w:val="0"/>
          <w:bCs w:val="0"/>
          <w:color w:val="auto"/>
          <w:sz w:val="32"/>
          <w:szCs w:val="32"/>
          <w:lang w:val="en-US" w:eastAsia="zh"/>
        </w:rPr>
        <w:t>牵头</w:t>
      </w:r>
      <w:r>
        <w:rPr>
          <w:rFonts w:hint="eastAsia" w:ascii="楷体_GB2312" w:hAnsi="楷体_GB2312" w:eastAsia="楷体_GB2312" w:cs="楷体_GB2312"/>
          <w:b w:val="0"/>
          <w:bCs w:val="0"/>
          <w:color w:val="auto"/>
          <w:sz w:val="32"/>
          <w:szCs w:val="32"/>
          <w:lang w:val="en-US" w:eastAsia="zh-CN"/>
        </w:rPr>
        <w:t>，省发展改革委</w:t>
      </w:r>
      <w:r>
        <w:rPr>
          <w:rFonts w:hint="eastAsia" w:ascii="楷体_GB2312" w:hAnsi="楷体_GB2312" w:eastAsia="楷体_GB2312" w:cs="楷体_GB2312"/>
          <w:b w:val="0"/>
          <w:bCs w:val="0"/>
          <w:color w:val="auto"/>
          <w:sz w:val="32"/>
          <w:szCs w:val="32"/>
          <w:highlight w:val="none"/>
          <w:lang w:val="en-US" w:eastAsia="zh-CN"/>
        </w:rPr>
        <w:t>按职责分工</w:t>
      </w:r>
      <w:r>
        <w:rPr>
          <w:rFonts w:hint="eastAsia" w:ascii="楷体_GB2312" w:hAnsi="楷体_GB2312" w:eastAsia="楷体_GB2312" w:cs="楷体_GB2312"/>
          <w:b w:val="0"/>
          <w:bCs w:val="0"/>
          <w:color w:val="auto"/>
          <w:sz w:val="32"/>
          <w:szCs w:val="32"/>
          <w:lang w:val="en-US" w:eastAsia="zh-CN"/>
        </w:rPr>
        <w:t>负责</w:t>
      </w:r>
      <w:r>
        <w:rPr>
          <w:rFonts w:hint="eastAsia" w:ascii="仿宋_GB2312" w:hAnsi="仿宋_GB2312" w:eastAsia="仿宋_GB2312" w:cs="仿宋_GB2312"/>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ascii="楷体_GB2312" w:hAnsi="楷体_GB2312" w:eastAsia="楷体_GB2312" w:cs="楷体_GB2312"/>
          <w:b w:val="0"/>
          <w:bCs w:val="0"/>
          <w:color w:val="auto"/>
          <w:sz w:val="32"/>
          <w:szCs w:val="32"/>
          <w:lang w:val="en-US" w:eastAsia="zh-CN"/>
        </w:rPr>
      </w:pPr>
      <w:r>
        <w:rPr>
          <w:rFonts w:hint="eastAsia" w:ascii="楷体_GB2312" w:hAnsi="楷体_GB2312" w:eastAsia="楷体_GB2312" w:cs="楷体_GB2312"/>
          <w:b w:val="0"/>
          <w:bCs w:val="0"/>
          <w:color w:val="auto"/>
          <w:sz w:val="32"/>
          <w:szCs w:val="32"/>
          <w:lang w:val="en-US" w:eastAsia="zh-CN"/>
        </w:rPr>
        <w:t>（二）市级层面优化升级就业创业服务载体。</w:t>
      </w:r>
      <w:r>
        <w:rPr>
          <w:rFonts w:hint="eastAsia" w:ascii="仿宋_GB2312" w:hAnsi="仿宋_GB2312" w:eastAsia="仿宋_GB2312" w:cs="仿宋_GB2312"/>
          <w:b w:val="0"/>
          <w:bCs w:val="0"/>
          <w:color w:val="auto"/>
          <w:sz w:val="32"/>
          <w:szCs w:val="32"/>
          <w:lang w:val="en-US" w:eastAsia="zh-CN"/>
        </w:rPr>
        <w:t>依托政务服务大厅健全市级就业创业服务办事平台，完善现有市级就业创业服务载体功能，推进各市人力资源服务产业园提档升级，试点推进“15分钟就业服务圈”与“一刻钟便民生活圈”融合建设。（</w:t>
      </w:r>
      <w:r>
        <w:rPr>
          <w:rFonts w:hint="eastAsia" w:ascii="楷体_GB2312" w:hAnsi="楷体_GB2312" w:eastAsia="楷体_GB2312" w:cs="楷体_GB2312"/>
          <w:b w:val="0"/>
          <w:bCs w:val="0"/>
          <w:color w:val="auto"/>
          <w:sz w:val="32"/>
          <w:szCs w:val="32"/>
          <w:lang w:val="en-US" w:eastAsia="zh-CN"/>
        </w:rPr>
        <w:t>省人力资源社会保障厅</w:t>
      </w:r>
      <w:r>
        <w:rPr>
          <w:rFonts w:hint="eastAsia" w:ascii="楷体_GB2312" w:hAnsi="楷体_GB2312" w:eastAsia="楷体_GB2312" w:cs="楷体_GB2312"/>
          <w:b w:val="0"/>
          <w:bCs w:val="0"/>
          <w:color w:val="auto"/>
          <w:sz w:val="32"/>
          <w:szCs w:val="32"/>
          <w:lang w:val="en-US" w:eastAsia="zh"/>
        </w:rPr>
        <w:t>牵头</w:t>
      </w:r>
      <w:r>
        <w:rPr>
          <w:rFonts w:hint="eastAsia" w:ascii="楷体_GB2312" w:hAnsi="楷体_GB2312" w:eastAsia="楷体_GB2312" w:cs="楷体_GB2312"/>
          <w:b w:val="0"/>
          <w:bCs w:val="0"/>
          <w:color w:val="auto"/>
          <w:sz w:val="32"/>
          <w:szCs w:val="32"/>
          <w:lang w:val="en-US" w:eastAsia="zh-CN"/>
        </w:rPr>
        <w:t>，省发展改革委</w:t>
      </w:r>
      <w:r>
        <w:rPr>
          <w:rFonts w:hint="eastAsia" w:ascii="楷体_GB2312" w:hAnsi="楷体_GB2312" w:eastAsia="楷体_GB2312" w:cs="楷体_GB2312"/>
          <w:b w:val="0"/>
          <w:bCs w:val="0"/>
          <w:color w:val="auto"/>
          <w:sz w:val="32"/>
          <w:szCs w:val="32"/>
          <w:highlight w:val="none"/>
          <w:lang w:val="en-US" w:eastAsia="zh-CN"/>
        </w:rPr>
        <w:t>按职责分工</w:t>
      </w:r>
      <w:r>
        <w:rPr>
          <w:rFonts w:hint="eastAsia" w:ascii="楷体_GB2312" w:hAnsi="楷体_GB2312" w:eastAsia="楷体_GB2312" w:cs="楷体_GB2312"/>
          <w:b w:val="0"/>
          <w:bCs w:val="0"/>
          <w:color w:val="auto"/>
          <w:sz w:val="32"/>
          <w:szCs w:val="32"/>
          <w:lang w:val="en-US" w:eastAsia="zh-CN"/>
        </w:rPr>
        <w:t>负责）</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default" w:ascii="楷体_GB2312" w:hAnsi="楷体_GB2312" w:eastAsia="楷体_GB2312" w:cs="楷体_GB2312"/>
          <w:b w:val="0"/>
          <w:bCs w:val="0"/>
          <w:color w:val="auto"/>
          <w:sz w:val="32"/>
          <w:szCs w:val="32"/>
          <w:highlight w:val="none"/>
          <w:lang w:val="en-US" w:eastAsia="zh-CN"/>
        </w:rPr>
      </w:pPr>
      <w:r>
        <w:rPr>
          <w:rFonts w:hint="eastAsia" w:ascii="楷体_GB2312" w:hAnsi="楷体_GB2312" w:eastAsia="楷体_GB2312" w:cs="楷体_GB2312"/>
          <w:b w:val="0"/>
          <w:bCs w:val="0"/>
          <w:color w:val="auto"/>
          <w:sz w:val="32"/>
          <w:szCs w:val="32"/>
          <w:highlight w:val="none"/>
          <w:lang w:val="en-US" w:eastAsia="zh-CN"/>
        </w:rPr>
        <w:t>（三）县级层面统筹设立就业创业综合服务场所。</w:t>
      </w:r>
      <w:r>
        <w:rPr>
          <w:rFonts w:hint="eastAsia" w:ascii="仿宋_GB2312" w:hAnsi="仿宋_GB2312" w:eastAsia="仿宋_GB2312" w:cs="仿宋_GB2312"/>
          <w:b w:val="0"/>
          <w:bCs w:val="0"/>
          <w:color w:val="auto"/>
          <w:sz w:val="32"/>
          <w:szCs w:val="32"/>
          <w:highlight w:val="none"/>
          <w:lang w:val="en-US" w:eastAsia="zh-CN"/>
        </w:rPr>
        <w:t>县级以上公共就业人才服务机构要科学设置功能分区，合理配备专业队伍，提供全链条就业公共服务。统筹县级人力资源市场等现有资源，因地制宜设立“乐业之家”就业创业综合服务场所，支持县域人力资源服务机构升规纳统，鼓励有条件的县（市、区）设立就业创业人文广场。（</w:t>
      </w:r>
      <w:r>
        <w:rPr>
          <w:rFonts w:hint="eastAsia" w:ascii="楷体_GB2312" w:hAnsi="楷体_GB2312" w:eastAsia="楷体_GB2312" w:cs="楷体_GB2312"/>
          <w:b w:val="0"/>
          <w:bCs w:val="0"/>
          <w:color w:val="auto"/>
          <w:sz w:val="32"/>
          <w:szCs w:val="32"/>
          <w:highlight w:val="none"/>
          <w:lang w:val="en-US" w:eastAsia="zh-CN"/>
        </w:rPr>
        <w:t>省人力资源社会保障厅</w:t>
      </w:r>
      <w:r>
        <w:rPr>
          <w:rFonts w:hint="eastAsia" w:ascii="楷体_GB2312" w:hAnsi="楷体_GB2312" w:eastAsia="楷体_GB2312" w:cs="楷体_GB2312"/>
          <w:b w:val="0"/>
          <w:bCs w:val="0"/>
          <w:color w:val="auto"/>
          <w:sz w:val="32"/>
          <w:szCs w:val="32"/>
          <w:highlight w:val="none"/>
          <w:lang w:val="en-US" w:eastAsia="zh"/>
        </w:rPr>
        <w:t>牵头</w:t>
      </w:r>
      <w:r>
        <w:rPr>
          <w:rFonts w:hint="eastAsia" w:ascii="楷体_GB2312" w:hAnsi="楷体_GB2312" w:eastAsia="楷体_GB2312" w:cs="楷体_GB2312"/>
          <w:b w:val="0"/>
          <w:bCs w:val="0"/>
          <w:color w:val="auto"/>
          <w:sz w:val="32"/>
          <w:szCs w:val="32"/>
          <w:highlight w:val="none"/>
          <w:lang w:val="en-US" w:eastAsia="zh-CN"/>
        </w:rPr>
        <w:t>，省发展改革委、省统计局按职责分工负责）</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ascii="楷体_GB2312" w:hAnsi="楷体_GB2312" w:eastAsia="楷体_GB2312" w:cs="楷体_GB2312"/>
          <w:b w:val="0"/>
          <w:bCs w:val="0"/>
          <w:color w:val="auto"/>
          <w:sz w:val="32"/>
          <w:szCs w:val="32"/>
          <w:highlight w:val="none"/>
          <w:lang w:val="en-US" w:eastAsia="zh-CN"/>
        </w:rPr>
      </w:pPr>
      <w:r>
        <w:rPr>
          <w:rFonts w:hint="eastAsia" w:ascii="楷体_GB2312" w:hAnsi="楷体_GB2312" w:eastAsia="楷体_GB2312" w:cs="楷体_GB2312"/>
          <w:b w:val="0"/>
          <w:bCs w:val="0"/>
          <w:color w:val="auto"/>
          <w:sz w:val="32"/>
          <w:szCs w:val="32"/>
          <w:highlight w:val="none"/>
          <w:lang w:val="en-US" w:eastAsia="zh-CN"/>
        </w:rPr>
        <w:t>（四）乡镇（街道）层面科学设置就业创业服务窗口。</w:t>
      </w:r>
      <w:r>
        <w:rPr>
          <w:rFonts w:hint="eastAsia" w:ascii="仿宋_GB2312" w:hAnsi="仿宋_GB2312" w:eastAsia="仿宋_GB2312" w:cs="仿宋_GB2312"/>
          <w:b w:val="0"/>
          <w:bCs w:val="0"/>
          <w:color w:val="auto"/>
          <w:sz w:val="32"/>
          <w:szCs w:val="32"/>
          <w:highlight w:val="none"/>
          <w:lang w:val="en-US" w:eastAsia="zh-CN"/>
        </w:rPr>
        <w:t>将乡镇（街道）就业公共服务融入党建引领基层治理，在乡镇（街道）履职事项清单中落实，推进就业创业服务端口前移。在乡镇（街道）综合便民服务中心科学设置就业创业服务窗口，为辖区居民提供“一站式”服务。支持优质人力资源服务机构在乡镇（街道）设点服务。（</w:t>
      </w:r>
      <w:r>
        <w:rPr>
          <w:rFonts w:hint="eastAsia" w:ascii="楷体_GB2312" w:hAnsi="楷体_GB2312" w:eastAsia="楷体_GB2312" w:cs="楷体_GB2312"/>
          <w:b w:val="0"/>
          <w:bCs w:val="0"/>
          <w:color w:val="auto"/>
          <w:sz w:val="32"/>
          <w:szCs w:val="32"/>
          <w:highlight w:val="none"/>
          <w:lang w:val="en-US" w:eastAsia="zh-CN"/>
        </w:rPr>
        <w:t>省人力资源社会保障厅</w:t>
      </w:r>
      <w:r>
        <w:rPr>
          <w:rFonts w:hint="eastAsia" w:ascii="楷体_GB2312" w:hAnsi="楷体_GB2312" w:eastAsia="楷体_GB2312" w:cs="楷体_GB2312"/>
          <w:b w:val="0"/>
          <w:bCs w:val="0"/>
          <w:color w:val="auto"/>
          <w:sz w:val="32"/>
          <w:szCs w:val="32"/>
          <w:highlight w:val="none"/>
          <w:lang w:val="en-US" w:eastAsia="zh"/>
        </w:rPr>
        <w:t>牵头</w:t>
      </w:r>
      <w:r>
        <w:rPr>
          <w:rFonts w:hint="eastAsia" w:ascii="楷体_GB2312" w:hAnsi="楷体_GB2312" w:eastAsia="楷体_GB2312" w:cs="楷体_GB2312"/>
          <w:b w:val="0"/>
          <w:bCs w:val="0"/>
          <w:color w:val="auto"/>
          <w:sz w:val="32"/>
          <w:szCs w:val="32"/>
          <w:highlight w:val="none"/>
          <w:lang w:val="en-US" w:eastAsia="zh-CN"/>
        </w:rPr>
        <w:t>，省委编办按职责分工负责）</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ascii="楷体_GB2312" w:hAnsi="楷体_GB2312" w:eastAsia="楷体_GB2312" w:cs="楷体_GB2312"/>
          <w:b w:val="0"/>
          <w:bCs w:val="0"/>
          <w:color w:val="auto"/>
          <w:sz w:val="32"/>
          <w:szCs w:val="32"/>
          <w:lang w:val="en-US" w:eastAsia="zh-CN"/>
        </w:rPr>
      </w:pPr>
      <w:r>
        <w:rPr>
          <w:rFonts w:hint="eastAsia" w:ascii="楷体_GB2312" w:hAnsi="楷体_GB2312" w:eastAsia="楷体_GB2312" w:cs="楷体_GB2312"/>
          <w:b w:val="0"/>
          <w:bCs w:val="0"/>
          <w:color w:val="auto"/>
          <w:sz w:val="32"/>
          <w:szCs w:val="32"/>
          <w:lang w:val="en-US" w:eastAsia="zh-CN"/>
        </w:rPr>
        <w:t>（五）村（社区）层面设立就业创业服务点。</w:t>
      </w:r>
      <w:r>
        <w:rPr>
          <w:rFonts w:hint="eastAsia" w:ascii="仿宋_GB2312" w:hAnsi="仿宋_GB2312" w:eastAsia="仿宋_GB2312" w:cs="仿宋_GB2312"/>
          <w:b w:val="0"/>
          <w:bCs w:val="0"/>
          <w:color w:val="auto"/>
          <w:sz w:val="32"/>
          <w:szCs w:val="32"/>
          <w:lang w:val="en-US" w:eastAsia="zh-CN"/>
        </w:rPr>
        <w:t>实施“社区微业”行动，发展嵌入式社区就业服务设施、互助性就业服务站点，组织市、县就业创业公共服务机构和经营性人力资源服务机构，联合开通“乐业服务直通车”，定期进村入社区驻点开展“家门口”就业创业服务。（</w:t>
      </w:r>
      <w:r>
        <w:rPr>
          <w:rFonts w:hint="eastAsia" w:ascii="楷体_GB2312" w:hAnsi="楷体_GB2312" w:eastAsia="楷体_GB2312" w:cs="楷体_GB2312"/>
          <w:b w:val="0"/>
          <w:bCs w:val="0"/>
          <w:color w:val="auto"/>
          <w:sz w:val="32"/>
          <w:szCs w:val="32"/>
          <w:lang w:val="en-US" w:eastAsia="zh-CN"/>
        </w:rPr>
        <w:t>省人力资源社会保障厅</w:t>
      </w:r>
      <w:r>
        <w:rPr>
          <w:rFonts w:hint="eastAsia" w:ascii="楷体_GB2312" w:hAnsi="楷体_GB2312" w:eastAsia="楷体_GB2312" w:cs="楷体_GB2312"/>
          <w:b w:val="0"/>
          <w:bCs w:val="0"/>
          <w:color w:val="auto"/>
          <w:sz w:val="32"/>
          <w:szCs w:val="32"/>
          <w:lang w:val="en-US" w:eastAsia="zh"/>
        </w:rPr>
        <w:t>负责</w:t>
      </w:r>
      <w:r>
        <w:rPr>
          <w:rFonts w:hint="eastAsia" w:ascii="楷体_GB2312" w:hAnsi="楷体_GB2312" w:eastAsia="楷体_GB2312" w:cs="楷体_GB2312"/>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default" w:ascii="仿宋_GB2312" w:hAnsi="仿宋_GB2312" w:eastAsia="仿宋_GB2312" w:cs="仿宋_GB2312"/>
          <w:b w:val="0"/>
          <w:bCs w:val="0"/>
          <w:color w:val="auto"/>
          <w:sz w:val="32"/>
          <w:szCs w:val="32"/>
          <w:lang w:val="en-US" w:eastAsia="zh-CN"/>
        </w:rPr>
      </w:pPr>
      <w:r>
        <w:rPr>
          <w:rFonts w:hint="eastAsia" w:ascii="黑体" w:hAnsi="黑体" w:eastAsia="黑体" w:cs="黑体"/>
          <w:b w:val="0"/>
          <w:bCs w:val="0"/>
          <w:color w:val="auto"/>
          <w:sz w:val="32"/>
          <w:szCs w:val="32"/>
          <w:lang w:val="en-US" w:eastAsia="zh-CN"/>
        </w:rPr>
        <w:t>二、打造重点群体就业创业服务平台</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ascii="楷体_GB2312" w:hAnsi="楷体_GB2312" w:eastAsia="楷体_GB2312" w:cs="楷体_GB2312"/>
          <w:b w:val="0"/>
          <w:bCs w:val="0"/>
          <w:color w:val="auto"/>
          <w:sz w:val="32"/>
          <w:szCs w:val="32"/>
          <w:highlight w:val="none"/>
          <w:lang w:val="en-US" w:eastAsia="zh-CN"/>
        </w:rPr>
      </w:pPr>
      <w:r>
        <w:rPr>
          <w:rFonts w:hint="eastAsia" w:ascii="楷体_GB2312" w:hAnsi="楷体_GB2312" w:eastAsia="楷体_GB2312" w:cs="楷体_GB2312"/>
          <w:b w:val="0"/>
          <w:bCs w:val="0"/>
          <w:color w:val="auto"/>
          <w:sz w:val="32"/>
          <w:szCs w:val="32"/>
          <w:highlight w:val="none"/>
          <w:lang w:val="en-US" w:eastAsia="zh-CN"/>
        </w:rPr>
        <w:t>（一）打造高校毕业生就业创业服务平台。</w:t>
      </w:r>
      <w:r>
        <w:rPr>
          <w:rFonts w:hint="eastAsia" w:ascii="仿宋_GB2312" w:hAnsi="仿宋_GB2312" w:eastAsia="仿宋_GB2312" w:cs="仿宋_GB2312"/>
          <w:b w:val="0"/>
          <w:bCs w:val="0"/>
          <w:color w:val="auto"/>
          <w:sz w:val="32"/>
          <w:szCs w:val="32"/>
          <w:highlight w:val="none"/>
          <w:lang w:val="en-US" w:eastAsia="zh-CN"/>
        </w:rPr>
        <w:t>在高校普遍设立大学生就业创业赋能平台，到2028年底实现覆盖所有省内高校。支持有条件的市设立青年就业创业赋能中心，推动大学生就业创业服务校内外有效衔接。校地联合建设区域性、行业性、联盟性高校毕业生就业市场，畅通校内外就业资源渠道。打造一批高水平就业指导教师培训实践基地，常态化开展轮训和专题研修。政校企协同建设一批大学生就业实习实践基地、青年就业见习基地，有组织开展实习见习活动。（</w:t>
      </w:r>
      <w:r>
        <w:rPr>
          <w:rFonts w:hint="eastAsia" w:ascii="楷体_GB2312" w:hAnsi="楷体_GB2312" w:eastAsia="楷体_GB2312" w:cs="楷体_GB2312"/>
          <w:b w:val="0"/>
          <w:bCs w:val="0"/>
          <w:color w:val="auto"/>
          <w:sz w:val="32"/>
          <w:szCs w:val="32"/>
          <w:highlight w:val="none"/>
          <w:lang w:val="en-US" w:eastAsia="zh-CN"/>
        </w:rPr>
        <w:t>省人力资源社会保障厅</w:t>
      </w:r>
      <w:r>
        <w:rPr>
          <w:rFonts w:hint="eastAsia" w:ascii="楷体_GB2312" w:hAnsi="楷体_GB2312" w:eastAsia="楷体_GB2312" w:cs="楷体_GB2312"/>
          <w:b w:val="0"/>
          <w:bCs w:val="0"/>
          <w:color w:val="auto"/>
          <w:sz w:val="32"/>
          <w:szCs w:val="32"/>
          <w:highlight w:val="none"/>
          <w:lang w:val="en-US" w:eastAsia="zh"/>
        </w:rPr>
        <w:t>牵头</w:t>
      </w:r>
      <w:r>
        <w:rPr>
          <w:rFonts w:hint="eastAsia" w:ascii="楷体_GB2312" w:hAnsi="楷体_GB2312" w:eastAsia="楷体_GB2312" w:cs="楷体_GB2312"/>
          <w:b w:val="0"/>
          <w:bCs w:val="0"/>
          <w:color w:val="auto"/>
          <w:sz w:val="32"/>
          <w:szCs w:val="32"/>
          <w:highlight w:val="none"/>
          <w:lang w:val="en-US" w:eastAsia="zh-CN"/>
        </w:rPr>
        <w:t>，省发展改革委、省教育厅按职责分工负责）</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楷体_GB2312" w:hAnsi="楷体_GB2312" w:eastAsia="楷体_GB2312" w:cs="楷体_GB2312"/>
          <w:b w:val="0"/>
          <w:bCs w:val="0"/>
          <w:color w:val="auto"/>
          <w:sz w:val="32"/>
          <w:szCs w:val="32"/>
          <w:highlight w:val="none"/>
          <w:lang w:val="en-US" w:eastAsia="zh-CN"/>
        </w:rPr>
        <w:t>（二）打造农村务工人员就业创业服务平台。</w:t>
      </w:r>
      <w:r>
        <w:rPr>
          <w:rFonts w:hint="eastAsia" w:ascii="仿宋_GB2312" w:hAnsi="仿宋_GB2312" w:eastAsia="仿宋_GB2312" w:cs="仿宋_GB2312"/>
          <w:b w:val="0"/>
          <w:bCs w:val="0"/>
          <w:color w:val="auto"/>
          <w:sz w:val="32"/>
          <w:szCs w:val="32"/>
          <w:highlight w:val="none"/>
          <w:lang w:val="en-US" w:eastAsia="zh-CN"/>
        </w:rPr>
        <w:t>顺应以县城为重要载体的城镇化和农业转移人口市民化进程，支持中心城市加强综合服务场所建设，为外来劳动力提供平等、普惠的就业公共服务。在农村务工人员相对集中的社区、园区等设立“乐业驿站”，打造一批返乡入乡创业园，提高农村务工人员就地就近享有就业创业服务的便利性、可及性。（</w:t>
      </w:r>
      <w:r>
        <w:rPr>
          <w:rFonts w:hint="eastAsia" w:ascii="楷体_GB2312" w:hAnsi="楷体_GB2312" w:eastAsia="楷体_GB2312" w:cs="楷体_GB2312"/>
          <w:b w:val="0"/>
          <w:bCs w:val="0"/>
          <w:color w:val="auto"/>
          <w:sz w:val="32"/>
          <w:szCs w:val="32"/>
          <w:highlight w:val="none"/>
          <w:lang w:val="en-US" w:eastAsia="zh-CN"/>
        </w:rPr>
        <w:t>省人力资源社会保障厅</w:t>
      </w:r>
      <w:r>
        <w:rPr>
          <w:rFonts w:hint="eastAsia" w:ascii="楷体_GB2312" w:hAnsi="楷体_GB2312" w:eastAsia="楷体_GB2312" w:cs="楷体_GB2312"/>
          <w:b w:val="0"/>
          <w:bCs w:val="0"/>
          <w:color w:val="auto"/>
          <w:sz w:val="32"/>
          <w:szCs w:val="32"/>
          <w:highlight w:val="none"/>
          <w:lang w:val="en-US" w:eastAsia="zh"/>
        </w:rPr>
        <w:t>负责</w:t>
      </w:r>
      <w:r>
        <w:rPr>
          <w:rFonts w:hint="eastAsia" w:ascii="楷体_GB2312" w:hAnsi="楷体_GB2312" w:eastAsia="楷体_GB2312" w:cs="楷体_GB2312"/>
          <w:b w:val="0"/>
          <w:bCs w:val="0"/>
          <w:color w:val="auto"/>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楷体_GB2312" w:hAnsi="楷体_GB2312" w:eastAsia="楷体_GB2312" w:cs="楷体_GB2312"/>
          <w:b w:val="0"/>
          <w:bCs w:val="0"/>
          <w:color w:val="auto"/>
          <w:sz w:val="32"/>
          <w:szCs w:val="32"/>
          <w:lang w:val="en-US" w:eastAsia="zh-CN"/>
        </w:rPr>
        <w:t>（三）打造灵活就业人员就业创业服务平台。</w:t>
      </w:r>
      <w:r>
        <w:rPr>
          <w:rFonts w:hint="eastAsia" w:ascii="仿宋_GB2312" w:hAnsi="仿宋_GB2312" w:eastAsia="仿宋_GB2312" w:cs="仿宋_GB2312"/>
          <w:b w:val="0"/>
          <w:bCs w:val="0"/>
          <w:color w:val="auto"/>
          <w:sz w:val="32"/>
          <w:szCs w:val="32"/>
          <w:lang w:val="en-US" w:eastAsia="zh-CN"/>
        </w:rPr>
        <w:t>规范化推进“一县一家”公共零工市场建设，支持灵活用工较多的乡镇（街道）因地制宜设立零工驿站，支持经营性人力资源服务机构入驻零工市场提供专业化服务，健全“即时快招”一站式服务机制。（</w:t>
      </w:r>
      <w:r>
        <w:rPr>
          <w:rFonts w:hint="eastAsia" w:ascii="楷体_GB2312" w:hAnsi="楷体_GB2312" w:eastAsia="楷体_GB2312" w:cs="楷体_GB2312"/>
          <w:b w:val="0"/>
          <w:bCs w:val="0"/>
          <w:color w:val="auto"/>
          <w:sz w:val="32"/>
          <w:szCs w:val="32"/>
          <w:lang w:val="en-US" w:eastAsia="zh-CN"/>
        </w:rPr>
        <w:t>省人力资源社会保障厅</w:t>
      </w:r>
      <w:r>
        <w:rPr>
          <w:rFonts w:hint="eastAsia" w:ascii="楷体_GB2312" w:hAnsi="楷体_GB2312" w:eastAsia="楷体_GB2312" w:cs="楷体_GB2312"/>
          <w:b w:val="0"/>
          <w:bCs w:val="0"/>
          <w:color w:val="auto"/>
          <w:sz w:val="32"/>
          <w:szCs w:val="32"/>
          <w:lang w:val="en-US" w:eastAsia="zh"/>
        </w:rPr>
        <w:t>负责</w:t>
      </w:r>
      <w:r>
        <w:rPr>
          <w:rFonts w:hint="eastAsia" w:ascii="楷体_GB2312" w:hAnsi="楷体_GB2312" w:eastAsia="楷体_GB2312" w:cs="楷体_GB2312"/>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default" w:ascii="仿宋_GB2312" w:hAnsi="仿宋_GB2312" w:eastAsia="仿宋_GB2312" w:cs="仿宋_GB2312"/>
          <w:b w:val="0"/>
          <w:bCs w:val="0"/>
          <w:color w:val="auto"/>
          <w:sz w:val="32"/>
          <w:szCs w:val="32"/>
          <w:lang w:val="en-US" w:eastAsia="zh-CN"/>
        </w:rPr>
      </w:pPr>
      <w:r>
        <w:rPr>
          <w:rFonts w:hint="eastAsia" w:ascii="楷体_GB2312" w:hAnsi="楷体_GB2312" w:eastAsia="楷体_GB2312" w:cs="楷体_GB2312"/>
          <w:b w:val="0"/>
          <w:bCs w:val="0"/>
          <w:color w:val="auto"/>
          <w:sz w:val="32"/>
          <w:szCs w:val="32"/>
          <w:lang w:val="en-US" w:eastAsia="zh-CN"/>
        </w:rPr>
        <w:t>（四）打造退役军人就业创业服务平台。</w:t>
      </w:r>
      <w:r>
        <w:rPr>
          <w:rFonts w:hint="eastAsia" w:ascii="仿宋_GB2312" w:hAnsi="仿宋_GB2312" w:eastAsia="仿宋_GB2312" w:cs="仿宋_GB2312"/>
          <w:b w:val="0"/>
          <w:bCs w:val="0"/>
          <w:color w:val="auto"/>
          <w:sz w:val="32"/>
          <w:szCs w:val="32"/>
          <w:lang w:val="en-US" w:eastAsia="zh-CN"/>
        </w:rPr>
        <w:t>实施退役军人就业服务专项行动，协同开展就业跟踪、稳岗扩容、就业攻坚、专项招聘、专场招聘等就业服务活动，推动退役军人服务省市重大项目人力资源对接。全面部署应用全国退役军人就业创业信息系统及“退役军人服务APP”就业服务模块，利用全省退役军人“军岗在线”平台、“数智就业”服务区等载体为退役军人提供数字化、智能化就业公共服务。</w:t>
      </w:r>
      <w:r>
        <w:rPr>
          <w:rFonts w:hint="eastAsia" w:ascii="楷体_GB2312" w:hAnsi="楷体_GB2312" w:eastAsia="楷体_GB2312" w:cs="楷体_GB2312"/>
          <w:b w:val="0"/>
          <w:bCs w:val="0"/>
          <w:color w:val="auto"/>
          <w:sz w:val="32"/>
          <w:szCs w:val="32"/>
          <w:lang w:val="en-US" w:eastAsia="zh-CN"/>
        </w:rPr>
        <w:t>（</w:t>
      </w:r>
      <w:r>
        <w:rPr>
          <w:rFonts w:hint="eastAsia" w:ascii="楷体_GB2312" w:hAnsi="楷体_GB2312" w:eastAsia="楷体_GB2312" w:cs="楷体_GB2312"/>
          <w:b w:val="0"/>
          <w:bCs w:val="0"/>
          <w:color w:val="auto"/>
          <w:sz w:val="32"/>
          <w:szCs w:val="32"/>
          <w:highlight w:val="none"/>
          <w:lang w:val="en-US" w:eastAsia="zh-CN"/>
        </w:rPr>
        <w:t>省退役军人厅</w:t>
      </w:r>
      <w:r>
        <w:rPr>
          <w:rFonts w:hint="eastAsia" w:ascii="楷体_GB2312" w:hAnsi="楷体_GB2312" w:eastAsia="楷体_GB2312" w:cs="楷体_GB2312"/>
          <w:b w:val="0"/>
          <w:bCs w:val="0"/>
          <w:color w:val="auto"/>
          <w:sz w:val="32"/>
          <w:szCs w:val="32"/>
          <w:lang w:val="en-US" w:eastAsia="zh"/>
        </w:rPr>
        <w:t>牵头</w:t>
      </w:r>
      <w:r>
        <w:rPr>
          <w:rFonts w:hint="eastAsia" w:ascii="楷体_GB2312" w:hAnsi="楷体_GB2312" w:eastAsia="楷体_GB2312" w:cs="楷体_GB2312"/>
          <w:b w:val="0"/>
          <w:bCs w:val="0"/>
          <w:color w:val="auto"/>
          <w:sz w:val="32"/>
          <w:szCs w:val="32"/>
          <w:lang w:val="en-US" w:eastAsia="zh-CN"/>
        </w:rPr>
        <w:t>，省人力资源社会保障厅</w:t>
      </w:r>
      <w:r>
        <w:rPr>
          <w:rFonts w:hint="eastAsia" w:ascii="楷体_GB2312" w:hAnsi="楷体_GB2312" w:eastAsia="楷体_GB2312" w:cs="楷体_GB2312"/>
          <w:b w:val="0"/>
          <w:bCs w:val="0"/>
          <w:color w:val="auto"/>
          <w:sz w:val="32"/>
          <w:szCs w:val="32"/>
          <w:highlight w:val="none"/>
          <w:lang w:val="en-US" w:eastAsia="zh-CN"/>
        </w:rPr>
        <w:t>按职责分工</w:t>
      </w:r>
      <w:r>
        <w:rPr>
          <w:rFonts w:hint="eastAsia" w:ascii="楷体_GB2312" w:hAnsi="楷体_GB2312" w:eastAsia="楷体_GB2312" w:cs="楷体_GB2312"/>
          <w:b w:val="0"/>
          <w:bCs w:val="0"/>
          <w:color w:val="auto"/>
          <w:sz w:val="32"/>
          <w:szCs w:val="32"/>
          <w:lang w:val="en-US" w:eastAsia="zh-CN"/>
        </w:rPr>
        <w:t>负责）</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楷体_GB2312" w:hAnsi="楷体_GB2312" w:eastAsia="楷体_GB2312" w:cs="楷体_GB2312"/>
          <w:b w:val="0"/>
          <w:bCs w:val="0"/>
          <w:color w:val="auto"/>
          <w:sz w:val="32"/>
          <w:szCs w:val="32"/>
          <w:lang w:val="en-US" w:eastAsia="zh-CN"/>
        </w:rPr>
        <w:t>（五）打造重点关爱人群就业创业服务平台。</w:t>
      </w:r>
      <w:r>
        <w:rPr>
          <w:rFonts w:hint="eastAsia" w:ascii="仿宋_GB2312" w:hAnsi="仿宋_GB2312" w:eastAsia="仿宋_GB2312" w:cs="仿宋_GB2312"/>
          <w:b w:val="0"/>
          <w:bCs w:val="0"/>
          <w:color w:val="auto"/>
          <w:sz w:val="32"/>
          <w:szCs w:val="32"/>
          <w:lang w:val="en-US" w:eastAsia="zh-CN"/>
        </w:rPr>
        <w:t>加强县级以上残疾人就业服务机构建设，在创业孵化基地、创业园区等场地开辟残疾人创业专区和残疾人创业园地，支持残疾人就业社会服务机构、人力资源服务机构按要求承接残疾人就业服务相关工作。</w:t>
      </w:r>
      <w:r>
        <w:rPr>
          <w:rFonts w:hint="eastAsia" w:ascii="仿宋_GB2312" w:hAnsi="仿宋_GB2312" w:eastAsia="仿宋_GB2312" w:cs="仿宋_GB2312"/>
          <w:b w:val="0"/>
          <w:bCs w:val="0"/>
          <w:color w:val="auto"/>
          <w:sz w:val="32"/>
          <w:szCs w:val="32"/>
          <w:highlight w:val="none"/>
          <w:lang w:val="en-US" w:eastAsia="zh-CN"/>
        </w:rPr>
        <w:t>实施“巾帼就业创业促进行动”，聚焦女大学生、居家就业创业妇女、生育再就业女性等群体需求，持续推进“雏凤”助飞、就业帮扶计划，支持企业、社会组织、个体经济组织等用人单位设立“妈妈岗”，专门服务妇女就业创业。</w:t>
      </w:r>
      <w:r>
        <w:rPr>
          <w:rFonts w:hint="eastAsia" w:ascii="仿宋_GB2312" w:hAnsi="仿宋_GB2312" w:eastAsia="仿宋_GB2312" w:cs="仿宋_GB2312"/>
          <w:b w:val="0"/>
          <w:bCs w:val="0"/>
          <w:color w:val="auto"/>
          <w:sz w:val="32"/>
          <w:szCs w:val="32"/>
          <w:lang w:val="en-US" w:eastAsia="zh-CN"/>
        </w:rPr>
        <w:t>在公共就业人才服务机构开设老年人就业服务“绿色通道”，整合利用各类资源联合开展适老公共就业服务。（</w:t>
      </w:r>
      <w:r>
        <w:rPr>
          <w:rFonts w:hint="eastAsia" w:ascii="楷体_GB2312" w:hAnsi="楷体_GB2312" w:eastAsia="楷体_GB2312" w:cs="楷体_GB2312"/>
          <w:b w:val="0"/>
          <w:bCs w:val="0"/>
          <w:color w:val="auto"/>
          <w:sz w:val="32"/>
          <w:szCs w:val="32"/>
          <w:lang w:val="en-US" w:eastAsia="zh-CN"/>
        </w:rPr>
        <w:t>省民政厅、省人力资源社会保障厅、省残联、省妇联按职责分工负责</w:t>
      </w:r>
      <w:r>
        <w:rPr>
          <w:rFonts w:hint="eastAsia" w:ascii="仿宋_GB2312" w:hAnsi="仿宋_GB2312" w:eastAsia="仿宋_GB2312" w:cs="仿宋_GB2312"/>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default" w:ascii="仿宋_GB2312" w:hAnsi="仿宋_GB2312" w:eastAsia="仿宋_GB2312" w:cs="仿宋_GB2312"/>
          <w:b w:val="0"/>
          <w:bCs w:val="0"/>
          <w:color w:val="auto"/>
          <w:sz w:val="32"/>
          <w:szCs w:val="32"/>
          <w:lang w:val="en-US" w:eastAsia="zh-CN"/>
        </w:rPr>
      </w:pPr>
      <w:r>
        <w:rPr>
          <w:rFonts w:hint="eastAsia" w:ascii="黑体" w:hAnsi="黑体" w:eastAsia="黑体" w:cs="黑体"/>
          <w:b w:val="0"/>
          <w:bCs w:val="0"/>
          <w:color w:val="auto"/>
          <w:sz w:val="32"/>
          <w:szCs w:val="32"/>
          <w:lang w:val="en-US" w:eastAsia="zh-CN"/>
        </w:rPr>
        <w:t>三、推行一体化数智就业创业服务模式</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楷体_GB2312" w:hAnsi="楷体_GB2312" w:eastAsia="楷体_GB2312" w:cs="楷体_GB2312"/>
          <w:b w:val="0"/>
          <w:bCs w:val="0"/>
          <w:color w:val="auto"/>
          <w:sz w:val="32"/>
          <w:szCs w:val="32"/>
          <w:highlight w:val="none"/>
          <w:lang w:val="en-US" w:eastAsia="zh-CN"/>
        </w:rPr>
        <w:t>（一）健全省级集中就业信息资源库。</w:t>
      </w:r>
      <w:r>
        <w:rPr>
          <w:rFonts w:hint="eastAsia" w:ascii="仿宋_GB2312" w:hAnsi="仿宋_GB2312" w:eastAsia="仿宋_GB2312" w:cs="仿宋_GB2312"/>
          <w:b w:val="0"/>
          <w:bCs w:val="0"/>
          <w:color w:val="auto"/>
          <w:sz w:val="32"/>
          <w:szCs w:val="32"/>
          <w:highlight w:val="none"/>
          <w:lang w:val="en-US" w:eastAsia="zh-CN"/>
        </w:rPr>
        <w:t>依托“智慧人社”一体化建设，推进以就业为重点的省级集中信息资源库建设，建立省市协同联动、业务动态归集、数据实时更新的工作模式，加快就业与社会保险、劳动关系、人才人事业务协同，推动人力资源社会保障与公安、民政、市场监管等部门数据共享，常态化提升数据质量、完善分析展示功能。（</w:t>
      </w:r>
      <w:r>
        <w:rPr>
          <w:rFonts w:hint="eastAsia" w:ascii="楷体_GB2312" w:hAnsi="楷体_GB2312" w:eastAsia="楷体_GB2312" w:cs="楷体_GB2312"/>
          <w:b w:val="0"/>
          <w:bCs w:val="0"/>
          <w:color w:val="auto"/>
          <w:sz w:val="32"/>
          <w:szCs w:val="32"/>
          <w:highlight w:val="none"/>
          <w:lang w:val="en-US" w:eastAsia="zh-CN"/>
        </w:rPr>
        <w:t>省人力资源社会保障厅</w:t>
      </w:r>
      <w:r>
        <w:rPr>
          <w:rFonts w:hint="eastAsia" w:ascii="楷体_GB2312" w:hAnsi="楷体_GB2312" w:eastAsia="楷体_GB2312" w:cs="楷体_GB2312"/>
          <w:b w:val="0"/>
          <w:bCs w:val="0"/>
          <w:color w:val="auto"/>
          <w:sz w:val="32"/>
          <w:szCs w:val="32"/>
          <w:highlight w:val="none"/>
          <w:lang w:val="en-US" w:eastAsia="zh"/>
        </w:rPr>
        <w:t>牵头</w:t>
      </w:r>
      <w:r>
        <w:rPr>
          <w:rFonts w:hint="eastAsia" w:ascii="楷体_GB2312" w:hAnsi="楷体_GB2312" w:eastAsia="楷体_GB2312" w:cs="楷体_GB2312"/>
          <w:b w:val="0"/>
          <w:bCs w:val="0"/>
          <w:color w:val="auto"/>
          <w:sz w:val="32"/>
          <w:szCs w:val="32"/>
          <w:highlight w:val="none"/>
          <w:lang w:val="en-US" w:eastAsia="zh-CN"/>
        </w:rPr>
        <w:t>，省公安厅、省民政厅、省市场监管局、省大数据局等按职责分工负责）</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楷体_GB2312" w:hAnsi="楷体_GB2312" w:eastAsia="楷体_GB2312" w:cs="楷体_GB2312"/>
          <w:b w:val="0"/>
          <w:bCs w:val="0"/>
          <w:color w:val="auto"/>
          <w:sz w:val="32"/>
          <w:szCs w:val="32"/>
          <w:lang w:val="en-US" w:eastAsia="zh-CN"/>
        </w:rPr>
        <w:t>（二）打造互联互通就业服务平台。</w:t>
      </w:r>
      <w:r>
        <w:rPr>
          <w:rFonts w:hint="eastAsia" w:ascii="仿宋_GB2312" w:hAnsi="仿宋_GB2312" w:eastAsia="仿宋_GB2312" w:cs="仿宋_GB2312"/>
          <w:b w:val="0"/>
          <w:bCs w:val="0"/>
          <w:color w:val="auto"/>
          <w:sz w:val="32"/>
          <w:szCs w:val="32"/>
          <w:lang w:val="en-US" w:eastAsia="zh-CN"/>
        </w:rPr>
        <w:t>完善全省统一就业公共服务平台功能，推进与全国就业公共服务平台互联互通。做好高校毕业生就业、劳动者自主创业、外国人就业等“一件事”办理，实现“一网通办”。依托省级公共招聘平台，开发求职招聘信息智能分析功能，支持人岗精准、高效对接。推进省、高校与国家、省外高校毕业生就业服务网络互联共享，实时对接社会招聘机构岗位信息。（</w:t>
      </w:r>
      <w:r>
        <w:rPr>
          <w:rFonts w:hint="eastAsia" w:ascii="楷体_GB2312" w:hAnsi="楷体_GB2312" w:eastAsia="楷体_GB2312" w:cs="楷体_GB2312"/>
          <w:b w:val="0"/>
          <w:bCs w:val="0"/>
          <w:color w:val="auto"/>
          <w:sz w:val="32"/>
          <w:szCs w:val="32"/>
          <w:lang w:val="en-US" w:eastAsia="zh-CN"/>
        </w:rPr>
        <w:t>省人力资源社会保障厅</w:t>
      </w:r>
      <w:r>
        <w:rPr>
          <w:rFonts w:hint="eastAsia" w:ascii="楷体_GB2312" w:hAnsi="楷体_GB2312" w:eastAsia="楷体_GB2312" w:cs="楷体_GB2312"/>
          <w:b w:val="0"/>
          <w:bCs w:val="0"/>
          <w:color w:val="auto"/>
          <w:sz w:val="32"/>
          <w:szCs w:val="32"/>
          <w:lang w:val="en-US" w:eastAsia="zh"/>
        </w:rPr>
        <w:t>牵头</w:t>
      </w:r>
      <w:r>
        <w:rPr>
          <w:rFonts w:hint="eastAsia" w:ascii="楷体_GB2312" w:hAnsi="楷体_GB2312" w:eastAsia="楷体_GB2312" w:cs="楷体_GB2312"/>
          <w:b w:val="0"/>
          <w:bCs w:val="0"/>
          <w:color w:val="auto"/>
          <w:sz w:val="32"/>
          <w:szCs w:val="32"/>
          <w:lang w:val="en-US" w:eastAsia="zh-CN"/>
        </w:rPr>
        <w:t>，省教育厅、省科技厅、省公安厅、省大数据局按职责分工负责）</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楷体_GB2312" w:hAnsi="楷体_GB2312" w:eastAsia="楷体_GB2312" w:cs="楷体_GB2312"/>
          <w:b w:val="0"/>
          <w:bCs w:val="0"/>
          <w:color w:val="auto"/>
          <w:sz w:val="32"/>
          <w:szCs w:val="32"/>
          <w:lang w:val="en-US" w:eastAsia="zh-CN"/>
        </w:rPr>
        <w:t>（三）建设“数智就业”服务区。</w:t>
      </w:r>
      <w:r>
        <w:rPr>
          <w:rFonts w:hint="eastAsia" w:ascii="仿宋_GB2312" w:hAnsi="仿宋_GB2312" w:eastAsia="仿宋_GB2312" w:cs="仿宋_GB2312"/>
          <w:b w:val="0"/>
          <w:bCs w:val="0"/>
          <w:color w:val="auto"/>
          <w:sz w:val="32"/>
          <w:szCs w:val="32"/>
          <w:lang w:val="en-US" w:eastAsia="zh-CN"/>
        </w:rPr>
        <w:t>试点推动“数智就业”服务区建设，加快大数据、人工智能等技术在就业创业领域应用，培育“数智就业”特色品牌，打造“数智就业”服务模式。组织“数智就业”专家服务团基层行活动，对接服务区建设开展诊断服务，提供常态化智力支持。（</w:t>
      </w:r>
      <w:r>
        <w:rPr>
          <w:rFonts w:hint="eastAsia" w:ascii="楷体_GB2312" w:hAnsi="楷体_GB2312" w:eastAsia="楷体_GB2312" w:cs="楷体_GB2312"/>
          <w:b w:val="0"/>
          <w:bCs w:val="0"/>
          <w:color w:val="auto"/>
          <w:sz w:val="32"/>
          <w:szCs w:val="32"/>
          <w:lang w:val="en-US" w:eastAsia="zh-CN"/>
        </w:rPr>
        <w:t>省人力资源社会保障厅</w:t>
      </w:r>
      <w:r>
        <w:rPr>
          <w:rFonts w:hint="eastAsia" w:ascii="楷体_GB2312" w:hAnsi="楷体_GB2312" w:eastAsia="楷体_GB2312" w:cs="楷体_GB2312"/>
          <w:b w:val="0"/>
          <w:bCs w:val="0"/>
          <w:color w:val="auto"/>
          <w:sz w:val="32"/>
          <w:szCs w:val="32"/>
          <w:lang w:val="en-US" w:eastAsia="zh"/>
        </w:rPr>
        <w:t>牵头</w:t>
      </w:r>
      <w:r>
        <w:rPr>
          <w:rFonts w:hint="eastAsia" w:ascii="楷体_GB2312" w:hAnsi="楷体_GB2312" w:eastAsia="楷体_GB2312" w:cs="楷体_GB2312"/>
          <w:b w:val="0"/>
          <w:bCs w:val="0"/>
          <w:color w:val="auto"/>
          <w:sz w:val="32"/>
          <w:szCs w:val="32"/>
          <w:highlight w:val="none"/>
          <w:lang w:val="en-US" w:eastAsia="zh-CN"/>
        </w:rPr>
        <w:t>，省发展改革委</w:t>
      </w:r>
      <w:r>
        <w:rPr>
          <w:rFonts w:hint="eastAsia" w:ascii="楷体_GB2312" w:hAnsi="楷体_GB2312" w:eastAsia="楷体_GB2312" w:cs="楷体_GB2312"/>
          <w:b w:val="0"/>
          <w:bCs w:val="0"/>
          <w:color w:val="auto"/>
          <w:sz w:val="32"/>
          <w:szCs w:val="32"/>
          <w:highlight w:val="none"/>
          <w:lang w:val="en-US" w:eastAsia="zh"/>
        </w:rPr>
        <w:t>、</w:t>
      </w:r>
      <w:r>
        <w:rPr>
          <w:rFonts w:hint="eastAsia" w:ascii="楷体_GB2312" w:hAnsi="楷体_GB2312" w:eastAsia="楷体_GB2312" w:cs="楷体_GB2312"/>
          <w:b w:val="0"/>
          <w:bCs w:val="0"/>
          <w:color w:val="auto"/>
          <w:sz w:val="32"/>
          <w:szCs w:val="32"/>
          <w:lang w:val="en-US" w:eastAsia="zh-CN"/>
        </w:rPr>
        <w:t>省大数据局按职责分工负责）</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32" w:firstLineChars="200"/>
        <w:textAlignment w:val="auto"/>
        <w:rPr>
          <w:rFonts w:hint="default" w:ascii="仿宋_GB2312" w:hAnsi="仿宋_GB2312" w:eastAsia="仿宋_GB2312" w:cs="仿宋_GB2312"/>
          <w:b w:val="0"/>
          <w:bCs w:val="0"/>
          <w:color w:val="auto"/>
          <w:sz w:val="32"/>
          <w:szCs w:val="32"/>
          <w:lang w:val="en-US" w:eastAsia="zh-CN"/>
        </w:rPr>
      </w:pPr>
      <w:r>
        <w:rPr>
          <w:rFonts w:hint="eastAsia" w:ascii="楷体_GB2312" w:hAnsi="楷体_GB2312" w:eastAsia="楷体_GB2312" w:cs="楷体_GB2312"/>
          <w:b w:val="0"/>
          <w:bCs w:val="0"/>
          <w:color w:val="auto"/>
          <w:sz w:val="32"/>
          <w:szCs w:val="32"/>
          <w:lang w:val="en-US" w:eastAsia="zh-CN"/>
        </w:rPr>
        <w:t>（四）打造“人工智能+就业”服务应用场景。</w:t>
      </w:r>
      <w:r>
        <w:rPr>
          <w:rFonts w:hint="eastAsia" w:ascii="仿宋_GB2312" w:hAnsi="仿宋_GB2312" w:eastAsia="仿宋_GB2312" w:cs="仿宋_GB2312"/>
          <w:b w:val="0"/>
          <w:bCs w:val="0"/>
          <w:color w:val="auto"/>
          <w:sz w:val="32"/>
          <w:szCs w:val="32"/>
          <w:lang w:val="en-US" w:eastAsia="zh-CN"/>
        </w:rPr>
        <w:t>推进“人工智能+就业”应用，探索政策申领、就业管理、就业服务、创业服务等领域人工智能应用场景，构建线上与线下场景融合的智能服务矩阵。推进就业数据“回流”基层，支持“大数据+铁脚板”模式应用。加强就业失业动态智能监测和预警，提升就业创业政策评估、就业形势分析等能力。（</w:t>
      </w:r>
      <w:r>
        <w:rPr>
          <w:rFonts w:hint="eastAsia" w:ascii="楷体_GB2312" w:hAnsi="楷体_GB2312" w:eastAsia="楷体_GB2312" w:cs="楷体_GB2312"/>
          <w:b w:val="0"/>
          <w:bCs w:val="0"/>
          <w:color w:val="auto"/>
          <w:sz w:val="32"/>
          <w:szCs w:val="32"/>
          <w:lang w:val="en-US" w:eastAsia="zh-CN"/>
        </w:rPr>
        <w:t>省人力资源社会保障厅</w:t>
      </w:r>
      <w:r>
        <w:rPr>
          <w:rFonts w:hint="eastAsia" w:ascii="楷体_GB2312" w:hAnsi="楷体_GB2312" w:eastAsia="楷体_GB2312" w:cs="楷体_GB2312"/>
          <w:b w:val="0"/>
          <w:bCs w:val="0"/>
          <w:color w:val="auto"/>
          <w:sz w:val="32"/>
          <w:szCs w:val="32"/>
          <w:lang w:val="en-US" w:eastAsia="zh"/>
        </w:rPr>
        <w:t>牵头</w:t>
      </w:r>
      <w:r>
        <w:rPr>
          <w:rFonts w:hint="eastAsia" w:ascii="楷体_GB2312" w:hAnsi="楷体_GB2312" w:eastAsia="楷体_GB2312" w:cs="楷体_GB2312"/>
          <w:b w:val="0"/>
          <w:bCs w:val="0"/>
          <w:color w:val="auto"/>
          <w:sz w:val="32"/>
          <w:szCs w:val="32"/>
          <w:lang w:val="en-US" w:eastAsia="zh-CN"/>
        </w:rPr>
        <w:t>，省大数据局</w:t>
      </w:r>
      <w:r>
        <w:rPr>
          <w:rFonts w:hint="eastAsia" w:ascii="楷体_GB2312" w:hAnsi="楷体_GB2312" w:eastAsia="楷体_GB2312" w:cs="楷体_GB2312"/>
          <w:b w:val="0"/>
          <w:bCs w:val="0"/>
          <w:color w:val="auto"/>
          <w:sz w:val="32"/>
          <w:szCs w:val="32"/>
          <w:highlight w:val="none"/>
          <w:lang w:val="en-US" w:eastAsia="zh-CN"/>
        </w:rPr>
        <w:t>按职责分工</w:t>
      </w:r>
      <w:r>
        <w:rPr>
          <w:rFonts w:hint="eastAsia" w:ascii="楷体_GB2312" w:hAnsi="楷体_GB2312" w:eastAsia="楷体_GB2312" w:cs="楷体_GB2312"/>
          <w:b w:val="0"/>
          <w:bCs w:val="0"/>
          <w:color w:val="auto"/>
          <w:sz w:val="32"/>
          <w:szCs w:val="32"/>
          <w:lang w:val="en-US" w:eastAsia="zh-CN"/>
        </w:rPr>
        <w:t>负责）</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各级各相关部门要高度重视高质量就业创业服务体系建设，纳入经济社会发展及国土空间相关规划，因地制宜抓好落实。高校要按规定落实毕业生就业服务机构、人员、场地、经费“四到位”要求，县级以上公共就业人才服务机构要加快培养职业指导师、创业指导师、职业信息分析师等专业人员。</w:t>
      </w:r>
      <w:r>
        <w:rPr>
          <w:rFonts w:hint="eastAsia" w:ascii="仿宋_GB2312" w:hAnsi="仿宋_GB2312" w:eastAsia="仿宋_GB2312" w:cs="仿宋_GB2312"/>
          <w:b w:val="0"/>
          <w:bCs w:val="0"/>
          <w:color w:val="auto"/>
          <w:sz w:val="32"/>
          <w:szCs w:val="32"/>
          <w:highlight w:val="none"/>
          <w:lang w:val="en-US" w:eastAsia="zh-CN"/>
        </w:rPr>
        <w:t>县级以上公共就业人才服务机构和高校要建强职业指导工作团队</w:t>
      </w:r>
      <w:r>
        <w:rPr>
          <w:rFonts w:hint="eastAsia" w:ascii="仿宋_GB2312" w:hAnsi="仿宋_GB2312" w:eastAsia="仿宋_GB2312" w:cs="仿宋_GB2312"/>
          <w:b w:val="0"/>
          <w:bCs w:val="0"/>
          <w:color w:val="auto"/>
          <w:sz w:val="32"/>
          <w:szCs w:val="32"/>
          <w:lang w:val="en-US" w:eastAsia="zh-CN"/>
        </w:rPr>
        <w:t>，扩大社会力量服务供给，按规定实施政府购买就业创业服务。支持就业公共服务人员参加人力资源管理专业技术人员职业资格考试、职称评审，或参加职业指导师职业技能等级认定。建立就业创业服务志愿体系，组建志愿团队，开展精细化服务。统筹安排资金，对公共就业人才服务机构及其与高校开展的就业创业服务活动，按规定给予就业创业服务补助。推进社会保障卡在就业创业服务领域应用。加强网络和数据安全管理、技术防护，避免“小散碎”信息平台建设，保障就业数据、个人信息安全。运用各类宣传媒介，积极宣传服务成效和典型经验，营造良好工作氛围。</w:t>
      </w:r>
    </w:p>
    <w:p>
      <w:pPr>
        <w:pStyle w:val="8"/>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b w:val="0"/>
          <w:bCs w:val="0"/>
          <w:color w:val="auto"/>
          <w:sz w:val="36"/>
          <w:szCs w:val="36"/>
          <w:lang w:val="en-US" w:eastAsia="zh-CN"/>
        </w:rPr>
      </w:pPr>
    </w:p>
    <w:p>
      <w:pPr>
        <w:pStyle w:val="2"/>
        <w:ind w:left="0" w:leftChars="0" w:firstLine="0" w:firstLineChars="0"/>
        <w:rPr>
          <w:rFonts w:hint="eastAsia"/>
          <w:color w:val="auto"/>
          <w:lang w:val="en-US" w:eastAsia="zh-CN"/>
        </w:rPr>
      </w:pPr>
    </w:p>
    <w:tbl>
      <w:tblPr>
        <w:tblStyle w:val="15"/>
        <w:tblW w:w="90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530"/>
        <w:gridCol w:w="45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30" w:type="dxa"/>
            <w:tcBorders>
              <w:tl2br w:val="nil"/>
              <w:tr2bl w:val="nil"/>
            </w:tcBorders>
            <w:vAlign w:val="center"/>
          </w:tcPr>
          <w:p>
            <w:pPr>
              <w:pStyle w:val="4"/>
              <w:jc w:val="center"/>
              <w:rPr>
                <w:rFonts w:hint="eastAsia"/>
                <w:color w:val="auto"/>
                <w:vertAlign w:val="baseline"/>
                <w:lang w:val="en-US" w:eastAsia="zh-CN"/>
              </w:rPr>
            </w:pPr>
            <w:r>
              <w:rPr>
                <w:rFonts w:hint="eastAsia" w:ascii="仿宋_GB2312" w:hAnsi="仿宋_GB2312" w:eastAsia="仿宋_GB2312" w:cs="仿宋_GB2312"/>
                <w:color w:val="auto"/>
                <w:sz w:val="32"/>
                <w:szCs w:val="32"/>
                <w:vertAlign w:val="baseline"/>
                <w:lang w:val="en-US" w:eastAsia="zh-CN"/>
              </w:rPr>
              <w:t>山东省人力资源和社会保障厅</w:t>
            </w:r>
          </w:p>
        </w:tc>
        <w:tc>
          <w:tcPr>
            <w:tcW w:w="4530" w:type="dxa"/>
            <w:tcBorders>
              <w:tl2br w:val="nil"/>
              <w:tr2bl w:val="nil"/>
            </w:tcBorders>
            <w:vAlign w:val="center"/>
          </w:tcPr>
          <w:p>
            <w:pPr>
              <w:pStyle w:val="4"/>
              <w:jc w:val="center"/>
              <w:rPr>
                <w:rFonts w:hint="eastAsia"/>
                <w:color w:val="auto"/>
                <w:vertAlign w:val="baseline"/>
                <w:lang w:val="en-US" w:eastAsia="zh-CN"/>
              </w:rPr>
            </w:pPr>
            <w:r>
              <w:rPr>
                <w:rFonts w:hint="eastAsia" w:ascii="仿宋_GB2312" w:hAnsi="仿宋_GB2312" w:eastAsia="仿宋_GB2312" w:cs="仿宋_GB2312"/>
                <w:color w:val="auto"/>
                <w:sz w:val="32"/>
                <w:szCs w:val="32"/>
                <w:vertAlign w:val="baseline"/>
                <w:lang w:val="en-US" w:eastAsia="zh-CN"/>
              </w:rPr>
              <w:t>中共山东省委机构编制委员会办公室</w:t>
            </w:r>
          </w:p>
        </w:tc>
      </w:tr>
    </w:tbl>
    <w:p>
      <w:pPr>
        <w:pStyle w:val="4"/>
        <w:rPr>
          <w:rFonts w:hint="eastAsia"/>
          <w:color w:val="auto"/>
          <w:lang w:val="en-US" w:eastAsia="zh-CN"/>
        </w:rPr>
      </w:pPr>
    </w:p>
    <w:p>
      <w:pPr>
        <w:pStyle w:val="4"/>
        <w:rPr>
          <w:rFonts w:hint="eastAsia"/>
          <w:color w:val="auto"/>
          <w:lang w:val="en-US" w:eastAsia="zh-CN"/>
        </w:rPr>
      </w:pPr>
    </w:p>
    <w:p>
      <w:pPr>
        <w:pStyle w:val="4"/>
        <w:rPr>
          <w:rFonts w:hint="eastAsia"/>
          <w:color w:val="auto"/>
          <w:lang w:val="en-US" w:eastAsia="zh-CN"/>
        </w:rPr>
      </w:pPr>
    </w:p>
    <w:tbl>
      <w:tblPr>
        <w:tblStyle w:val="15"/>
        <w:tblW w:w="90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530"/>
        <w:gridCol w:w="45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3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vertAlign w:val="baseline"/>
                <w:lang w:val="en-US" w:eastAsia="zh-CN"/>
              </w:rPr>
              <w:t>山东省发展和改革委员会</w:t>
            </w:r>
          </w:p>
        </w:tc>
        <w:tc>
          <w:tcPr>
            <w:tcW w:w="453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vertAlign w:val="baseline"/>
                <w:lang w:val="en-US" w:eastAsia="zh-CN"/>
              </w:rPr>
              <w:t>山东省教育厅</w:t>
            </w:r>
          </w:p>
        </w:tc>
      </w:tr>
    </w:tbl>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color w:val="auto"/>
          <w:sz w:val="32"/>
          <w:szCs w:val="32"/>
          <w:lang w:val="en-US" w:eastAsia="zh-CN"/>
        </w:rPr>
      </w:pPr>
    </w:p>
    <w:tbl>
      <w:tblPr>
        <w:tblStyle w:val="15"/>
        <w:tblW w:w="90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530"/>
        <w:gridCol w:w="45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30" w:type="dxa"/>
            <w:tcBorders>
              <w:tl2br w:val="nil"/>
              <w:tr2bl w:val="nil"/>
            </w:tcBorders>
            <w:vAlign w:val="center"/>
          </w:tcPr>
          <w:p>
            <w:pPr>
              <w:pStyle w:val="2"/>
              <w:ind w:left="0" w:leftChars="0" w:firstLine="0" w:firstLineChars="0"/>
              <w:jc w:val="center"/>
              <w:rPr>
                <w:rFonts w:hint="eastAsia"/>
                <w:color w:val="auto"/>
                <w:vertAlign w:val="baseline"/>
                <w:lang w:val="en-US" w:eastAsia="zh-CN"/>
              </w:rPr>
            </w:pPr>
            <w:r>
              <w:rPr>
                <w:rFonts w:hint="eastAsia" w:ascii="仿宋_GB2312" w:hAnsi="仿宋_GB2312" w:eastAsia="仿宋_GB2312" w:cs="仿宋_GB2312"/>
                <w:color w:val="auto"/>
                <w:sz w:val="32"/>
                <w:szCs w:val="32"/>
                <w:vertAlign w:val="baseline"/>
                <w:lang w:val="en-US" w:eastAsia="zh-CN"/>
              </w:rPr>
              <w:t>山东省科学技术厅</w:t>
            </w:r>
          </w:p>
        </w:tc>
        <w:tc>
          <w:tcPr>
            <w:tcW w:w="4530" w:type="dxa"/>
            <w:tcBorders>
              <w:tl2br w:val="nil"/>
              <w:tr2bl w:val="nil"/>
            </w:tcBorders>
            <w:vAlign w:val="center"/>
          </w:tcPr>
          <w:p>
            <w:pPr>
              <w:pStyle w:val="2"/>
              <w:ind w:left="0" w:leftChars="0" w:firstLine="0" w:firstLineChars="0"/>
              <w:jc w:val="center"/>
              <w:rPr>
                <w:rFonts w:hint="eastAsia"/>
                <w:color w:val="auto"/>
                <w:vertAlign w:val="baseline"/>
                <w:lang w:val="en-US" w:eastAsia="zh-CN"/>
              </w:rPr>
            </w:pPr>
            <w:r>
              <w:rPr>
                <w:rFonts w:hint="eastAsia" w:ascii="仿宋_GB2312" w:hAnsi="仿宋_GB2312" w:eastAsia="仿宋_GB2312" w:cs="仿宋_GB2312"/>
                <w:color w:val="auto"/>
                <w:sz w:val="32"/>
                <w:szCs w:val="32"/>
                <w:vertAlign w:val="baseline"/>
                <w:lang w:val="en-US" w:eastAsia="zh-CN"/>
              </w:rPr>
              <w:t>山东省公安厅</w:t>
            </w:r>
          </w:p>
        </w:tc>
      </w:tr>
    </w:tbl>
    <w:p>
      <w:pPr>
        <w:pStyle w:val="2"/>
        <w:ind w:left="0" w:leftChars="0" w:firstLine="0" w:firstLineChars="0"/>
        <w:rPr>
          <w:rFonts w:hint="eastAsia"/>
          <w:color w:val="auto"/>
          <w:lang w:val="en-US" w:eastAsia="zh-CN"/>
        </w:rPr>
      </w:pPr>
    </w:p>
    <w:p>
      <w:pPr>
        <w:pStyle w:val="2"/>
        <w:rPr>
          <w:rFonts w:hint="eastAsia" w:ascii="仿宋_GB2312" w:hAnsi="仿宋_GB2312" w:eastAsia="仿宋_GB2312" w:cs="仿宋_GB2312"/>
          <w:color w:val="auto"/>
          <w:sz w:val="32"/>
          <w:szCs w:val="32"/>
          <w:lang w:val="en-US" w:eastAsia="zh-CN"/>
        </w:rPr>
      </w:pPr>
    </w:p>
    <w:p>
      <w:pPr>
        <w:pStyle w:val="4"/>
        <w:rPr>
          <w:rFonts w:hint="eastAsia" w:ascii="仿宋_GB2312" w:hAnsi="仿宋_GB2312" w:eastAsia="仿宋_GB2312" w:cs="仿宋_GB2312"/>
          <w:color w:val="auto"/>
          <w:sz w:val="32"/>
          <w:szCs w:val="32"/>
          <w:lang w:val="en-US" w:eastAsia="zh-CN"/>
        </w:rPr>
      </w:pPr>
    </w:p>
    <w:tbl>
      <w:tblPr>
        <w:tblStyle w:val="15"/>
        <w:tblW w:w="90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530"/>
        <w:gridCol w:w="45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4530" w:type="dxa"/>
            <w:tcBorders>
              <w:tl2br w:val="nil"/>
              <w:tr2bl w:val="nil"/>
            </w:tcBorders>
            <w:vAlign w:val="center"/>
          </w:tcPr>
          <w:p>
            <w:pPr>
              <w:pStyle w:val="4"/>
              <w:jc w:val="center"/>
              <w:rPr>
                <w:rFonts w:hint="eastAsia"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vertAlign w:val="baseline"/>
                <w:lang w:val="en-US" w:eastAsia="zh-CN"/>
              </w:rPr>
              <w:t>山东省民政厅</w:t>
            </w:r>
          </w:p>
        </w:tc>
        <w:tc>
          <w:tcPr>
            <w:tcW w:w="4530" w:type="dxa"/>
            <w:tcBorders>
              <w:tl2br w:val="nil"/>
              <w:tr2bl w:val="nil"/>
            </w:tcBorders>
            <w:vAlign w:val="center"/>
          </w:tcPr>
          <w:p>
            <w:pPr>
              <w:pStyle w:val="4"/>
              <w:jc w:val="center"/>
              <w:rPr>
                <w:rFonts w:hint="eastAsia"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vertAlign w:val="baseline"/>
                <w:lang w:val="en-US" w:eastAsia="zh-CN"/>
              </w:rPr>
              <w:t>山东省财政厅</w:t>
            </w:r>
          </w:p>
        </w:tc>
      </w:tr>
    </w:tbl>
    <w:p>
      <w:pPr>
        <w:pStyle w:val="4"/>
        <w:rPr>
          <w:rFonts w:hint="eastAsia" w:ascii="仿宋_GB2312" w:hAnsi="仿宋_GB2312" w:eastAsia="仿宋_GB2312" w:cs="仿宋_GB2312"/>
          <w:color w:val="auto"/>
          <w:sz w:val="32"/>
          <w:szCs w:val="32"/>
          <w:lang w:val="en-US" w:eastAsia="zh-CN"/>
        </w:rPr>
      </w:pPr>
    </w:p>
    <w:p>
      <w:pPr>
        <w:pStyle w:val="4"/>
        <w:rPr>
          <w:rFonts w:hint="eastAsia" w:ascii="仿宋_GB2312" w:hAnsi="仿宋_GB2312" w:eastAsia="仿宋_GB2312" w:cs="仿宋_GB2312"/>
          <w:color w:val="auto"/>
          <w:sz w:val="32"/>
          <w:szCs w:val="32"/>
          <w:lang w:val="en-US" w:eastAsia="zh-CN"/>
        </w:rPr>
      </w:pPr>
    </w:p>
    <w:p>
      <w:pPr>
        <w:pStyle w:val="4"/>
        <w:rPr>
          <w:rFonts w:hint="eastAsia" w:ascii="仿宋_GB2312" w:hAnsi="仿宋_GB2312" w:eastAsia="仿宋_GB2312" w:cs="仿宋_GB2312"/>
          <w:color w:val="auto"/>
          <w:sz w:val="32"/>
          <w:szCs w:val="32"/>
          <w:lang w:val="en-US" w:eastAsia="zh-CN"/>
        </w:rPr>
      </w:pPr>
    </w:p>
    <w:tbl>
      <w:tblPr>
        <w:tblStyle w:val="15"/>
        <w:tblW w:w="90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530"/>
        <w:gridCol w:w="45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30" w:type="dxa"/>
            <w:tcBorders>
              <w:tl2br w:val="nil"/>
              <w:tr2bl w:val="nil"/>
            </w:tcBorders>
            <w:vAlign w:val="center"/>
          </w:tcPr>
          <w:p>
            <w:pPr>
              <w:pStyle w:val="4"/>
              <w:jc w:val="center"/>
              <w:rPr>
                <w:rFonts w:hint="eastAsia"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vertAlign w:val="baseline"/>
                <w:lang w:val="en-US" w:eastAsia="zh-CN"/>
              </w:rPr>
              <w:t>山东省退役军人事务厅</w:t>
            </w:r>
          </w:p>
        </w:tc>
        <w:tc>
          <w:tcPr>
            <w:tcW w:w="4530" w:type="dxa"/>
            <w:tcBorders>
              <w:tl2br w:val="nil"/>
              <w:tr2bl w:val="nil"/>
            </w:tcBorders>
            <w:vAlign w:val="center"/>
          </w:tcPr>
          <w:p>
            <w:pPr>
              <w:pStyle w:val="4"/>
              <w:jc w:val="center"/>
              <w:rPr>
                <w:rFonts w:hint="eastAsia"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vertAlign w:val="baseline"/>
                <w:lang w:val="en-US" w:eastAsia="zh-CN"/>
              </w:rPr>
              <w:t>山东省市场监督管理局</w:t>
            </w:r>
          </w:p>
        </w:tc>
      </w:tr>
    </w:tbl>
    <w:p>
      <w:pPr>
        <w:pStyle w:val="4"/>
        <w:rPr>
          <w:rFonts w:hint="eastAsia" w:ascii="仿宋_GB2312" w:hAnsi="仿宋_GB2312" w:eastAsia="仿宋_GB2312" w:cs="仿宋_GB2312"/>
          <w:color w:val="auto"/>
          <w:sz w:val="32"/>
          <w:szCs w:val="32"/>
          <w:lang w:val="en-US" w:eastAsia="zh-CN"/>
        </w:rPr>
      </w:pPr>
    </w:p>
    <w:p>
      <w:pPr>
        <w:pStyle w:val="4"/>
        <w:rPr>
          <w:rFonts w:hint="eastAsia" w:ascii="仿宋_GB2312" w:hAnsi="仿宋_GB2312" w:eastAsia="仿宋_GB2312" w:cs="仿宋_GB2312"/>
          <w:color w:val="auto"/>
          <w:sz w:val="32"/>
          <w:szCs w:val="32"/>
          <w:lang w:val="en-US" w:eastAsia="zh-CN"/>
        </w:rPr>
      </w:pPr>
    </w:p>
    <w:p>
      <w:pPr>
        <w:pStyle w:val="4"/>
        <w:rPr>
          <w:rFonts w:hint="eastAsia" w:ascii="仿宋_GB2312" w:hAnsi="仿宋_GB2312" w:eastAsia="仿宋_GB2312" w:cs="仿宋_GB2312"/>
          <w:color w:val="auto"/>
          <w:sz w:val="32"/>
          <w:szCs w:val="32"/>
          <w:lang w:val="en-US" w:eastAsia="zh-CN"/>
        </w:rPr>
      </w:pPr>
    </w:p>
    <w:tbl>
      <w:tblPr>
        <w:tblStyle w:val="15"/>
        <w:tblW w:w="90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530"/>
        <w:gridCol w:w="45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30" w:type="dxa"/>
            <w:tcBorders>
              <w:tl2br w:val="nil"/>
              <w:tr2bl w:val="nil"/>
            </w:tcBorders>
            <w:vAlign w:val="center"/>
          </w:tcPr>
          <w:p>
            <w:pPr>
              <w:pStyle w:val="4"/>
              <w:jc w:val="center"/>
              <w:rPr>
                <w:rFonts w:hint="eastAsia"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vertAlign w:val="baseline"/>
                <w:lang w:val="en-US" w:eastAsia="zh-CN"/>
              </w:rPr>
              <w:t>山东省统计局</w:t>
            </w:r>
          </w:p>
        </w:tc>
        <w:tc>
          <w:tcPr>
            <w:tcW w:w="4530" w:type="dxa"/>
            <w:tcBorders>
              <w:tl2br w:val="nil"/>
              <w:tr2bl w:val="nil"/>
            </w:tcBorders>
            <w:vAlign w:val="center"/>
          </w:tcPr>
          <w:p>
            <w:pPr>
              <w:pStyle w:val="4"/>
              <w:jc w:val="center"/>
              <w:rPr>
                <w:rFonts w:hint="eastAsia"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vertAlign w:val="baseline"/>
                <w:lang w:val="en-US" w:eastAsia="zh-CN"/>
              </w:rPr>
              <w:t>山东省大数据局</w:t>
            </w:r>
          </w:p>
        </w:tc>
      </w:tr>
    </w:tbl>
    <w:p>
      <w:pPr>
        <w:pStyle w:val="4"/>
        <w:rPr>
          <w:rFonts w:hint="eastAsia" w:ascii="仿宋_GB2312" w:hAnsi="仿宋_GB2312" w:eastAsia="仿宋_GB2312" w:cs="仿宋_GB2312"/>
          <w:color w:val="auto"/>
          <w:sz w:val="32"/>
          <w:szCs w:val="32"/>
          <w:lang w:val="en-US" w:eastAsia="zh-CN"/>
        </w:rPr>
      </w:pPr>
    </w:p>
    <w:p>
      <w:pPr>
        <w:pStyle w:val="4"/>
        <w:rPr>
          <w:rFonts w:hint="eastAsia" w:ascii="仿宋_GB2312" w:hAnsi="仿宋_GB2312" w:eastAsia="仿宋_GB2312" w:cs="仿宋_GB2312"/>
          <w:color w:val="auto"/>
          <w:sz w:val="32"/>
          <w:szCs w:val="32"/>
          <w:lang w:val="en-US" w:eastAsia="zh-CN"/>
        </w:rPr>
      </w:pPr>
    </w:p>
    <w:p>
      <w:pPr>
        <w:pStyle w:val="4"/>
        <w:rPr>
          <w:rFonts w:hint="eastAsia" w:ascii="仿宋_GB2312" w:hAnsi="仿宋_GB2312" w:eastAsia="仿宋_GB2312" w:cs="仿宋_GB2312"/>
          <w:color w:val="auto"/>
          <w:sz w:val="32"/>
          <w:szCs w:val="32"/>
          <w:lang w:val="en-US" w:eastAsia="zh-CN"/>
        </w:rPr>
      </w:pPr>
    </w:p>
    <w:tbl>
      <w:tblPr>
        <w:tblStyle w:val="15"/>
        <w:tblW w:w="90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530"/>
        <w:gridCol w:w="45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30" w:type="dxa"/>
            <w:tcBorders>
              <w:tl2br w:val="nil"/>
              <w:tr2bl w:val="nil"/>
            </w:tcBorders>
            <w:vAlign w:val="center"/>
          </w:tcPr>
          <w:p>
            <w:pPr>
              <w:pStyle w:val="4"/>
              <w:jc w:val="center"/>
              <w:rPr>
                <w:rFonts w:hint="eastAsia"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vertAlign w:val="baseline"/>
                <w:lang w:val="en-US" w:eastAsia="zh-CN"/>
              </w:rPr>
              <w:t>山东省残疾人联合会</w:t>
            </w:r>
          </w:p>
        </w:tc>
        <w:tc>
          <w:tcPr>
            <w:tcW w:w="4530" w:type="dxa"/>
            <w:tcBorders>
              <w:tl2br w:val="nil"/>
              <w:tr2bl w:val="nil"/>
            </w:tcBorders>
            <w:vAlign w:val="center"/>
          </w:tcPr>
          <w:p>
            <w:pPr>
              <w:pStyle w:val="4"/>
              <w:jc w:val="center"/>
              <w:rPr>
                <w:rFonts w:hint="eastAsia"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vertAlign w:val="baseline"/>
                <w:lang w:val="en-US" w:eastAsia="zh-CN"/>
              </w:rPr>
              <w:t>山东省妇女联合会</w:t>
            </w:r>
          </w:p>
        </w:tc>
      </w:tr>
    </w:tbl>
    <w:p>
      <w:pPr>
        <w:keepNext w:val="0"/>
        <w:keepLines w:val="0"/>
        <w:pageBreakBefore w:val="0"/>
        <w:widowControl w:val="0"/>
        <w:kinsoku/>
        <w:wordWrap/>
        <w:overflowPunct/>
        <w:topLinePunct w:val="0"/>
        <w:autoSpaceDE/>
        <w:autoSpaceDN/>
        <w:bidi w:val="0"/>
        <w:adjustRightInd/>
        <w:snapToGrid/>
        <w:spacing w:line="580" w:lineRule="exact"/>
        <w:ind w:firstLine="4740" w:firstLineChars="15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2025年8月1日</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（此件主动公开）</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（联系单位：省人力资源社会保障厅就业促进处）</w:t>
      </w:r>
    </w:p>
    <w:p>
      <w:pPr>
        <w:pStyle w:val="2"/>
        <w:ind w:left="0" w:leftChars="0" w:firstLine="0" w:firstLineChars="0"/>
        <w:rPr>
          <w:rFonts w:hint="eastAsia" w:ascii="仿宋_GB2312" w:hAnsi="仿宋_GB2312" w:eastAsia="仿宋_GB2312" w:cs="仿宋_GB2312"/>
          <w:color w:val="auto"/>
          <w:sz w:val="32"/>
          <w:szCs w:val="32"/>
          <w:lang w:val="en-US" w:eastAsia="zh-CN"/>
        </w:rPr>
        <w:sectPr>
          <w:footerReference r:id="rId3" w:type="default"/>
          <w:pgSz w:w="11906" w:h="16838"/>
          <w:pgMar w:top="2098" w:right="1531" w:bottom="1814" w:left="1531" w:header="851" w:footer="1587" w:gutter="0"/>
          <w:pgBorders>
            <w:top w:val="none" w:sz="0" w:space="0"/>
            <w:left w:val="none" w:sz="0" w:space="0"/>
            <w:bottom w:val="none" w:sz="0" w:space="0"/>
            <w:right w:val="none" w:sz="0" w:space="0"/>
          </w:pgBorders>
          <w:pgNumType w:fmt="decimal"/>
          <w:cols w:space="0" w:num="1"/>
          <w:rtlGutter w:val="0"/>
          <w:docGrid w:type="linesAndChars" w:linePitch="587" w:charSpace="-849"/>
        </w:sectPr>
      </w:pPr>
    </w:p>
    <w:p>
      <w:pPr>
        <w:pStyle w:val="4"/>
        <w:keepNext w:val="0"/>
        <w:keepLines w:val="0"/>
        <w:pageBreakBefore w:val="0"/>
        <w:widowControl w:val="0"/>
        <w:kinsoku/>
        <w:wordWrap/>
        <w:overflowPunct/>
        <w:topLinePunct w:val="0"/>
        <w:autoSpaceDE w:val="0"/>
        <w:autoSpaceDN w:val="0"/>
        <w:bidi w:val="0"/>
        <w:adjustRightInd w:val="0"/>
        <w:snapToGrid/>
        <w:spacing w:line="560" w:lineRule="exact"/>
        <w:ind w:left="0" w:leftChars="0" w:right="0" w:rightChars="0" w:firstLine="0" w:firstLineChars="0"/>
        <w:jc w:val="left"/>
        <w:textAlignment w:val="auto"/>
        <w:outlineLvl w:val="9"/>
        <w:rPr>
          <w:rFonts w:hint="eastAsia"/>
          <w:color w:val="auto"/>
          <w:lang w:val="en-US" w:eastAsia="zh-CN"/>
        </w:rPr>
      </w:pPr>
    </w:p>
    <w:p>
      <w:pPr>
        <w:pStyle w:val="4"/>
        <w:keepNext w:val="0"/>
        <w:keepLines w:val="0"/>
        <w:pageBreakBefore w:val="0"/>
        <w:widowControl w:val="0"/>
        <w:kinsoku/>
        <w:wordWrap/>
        <w:overflowPunct/>
        <w:topLinePunct w:val="0"/>
        <w:autoSpaceDE w:val="0"/>
        <w:autoSpaceDN w:val="0"/>
        <w:bidi w:val="0"/>
        <w:adjustRightInd w:val="0"/>
        <w:snapToGrid/>
        <w:spacing w:line="560" w:lineRule="exact"/>
        <w:ind w:left="0" w:leftChars="0" w:right="0" w:rightChars="0" w:firstLine="0" w:firstLineChars="0"/>
        <w:jc w:val="left"/>
        <w:textAlignment w:val="auto"/>
        <w:outlineLvl w:val="9"/>
        <w:rPr>
          <w:rFonts w:hint="eastAsia"/>
          <w:color w:val="auto"/>
          <w:lang w:val="en-US" w:eastAsia="zh-CN"/>
        </w:rPr>
      </w:pPr>
    </w:p>
    <w:p>
      <w:pPr>
        <w:pStyle w:val="4"/>
        <w:keepNext w:val="0"/>
        <w:keepLines w:val="0"/>
        <w:pageBreakBefore w:val="0"/>
        <w:widowControl w:val="0"/>
        <w:kinsoku/>
        <w:wordWrap/>
        <w:overflowPunct/>
        <w:topLinePunct w:val="0"/>
        <w:autoSpaceDE w:val="0"/>
        <w:autoSpaceDN w:val="0"/>
        <w:bidi w:val="0"/>
        <w:adjustRightInd w:val="0"/>
        <w:snapToGrid/>
        <w:spacing w:line="560" w:lineRule="exact"/>
        <w:ind w:left="0" w:leftChars="0" w:right="0" w:rightChars="0" w:firstLine="0" w:firstLineChars="0"/>
        <w:jc w:val="left"/>
        <w:textAlignment w:val="auto"/>
        <w:outlineLvl w:val="9"/>
        <w:rPr>
          <w:rFonts w:hint="eastAsia"/>
          <w:color w:val="auto"/>
          <w:lang w:val="en-US" w:eastAsia="zh-CN"/>
        </w:rPr>
      </w:pPr>
    </w:p>
    <w:p>
      <w:pPr>
        <w:pStyle w:val="4"/>
        <w:keepNext w:val="0"/>
        <w:keepLines w:val="0"/>
        <w:pageBreakBefore w:val="0"/>
        <w:widowControl w:val="0"/>
        <w:kinsoku/>
        <w:wordWrap/>
        <w:overflowPunct/>
        <w:topLinePunct w:val="0"/>
        <w:autoSpaceDE w:val="0"/>
        <w:autoSpaceDN w:val="0"/>
        <w:bidi w:val="0"/>
        <w:adjustRightInd w:val="0"/>
        <w:snapToGrid/>
        <w:spacing w:line="560" w:lineRule="exact"/>
        <w:ind w:left="0" w:leftChars="0" w:right="0" w:rightChars="0" w:firstLine="0" w:firstLineChars="0"/>
        <w:jc w:val="left"/>
        <w:textAlignment w:val="auto"/>
        <w:outlineLvl w:val="9"/>
        <w:rPr>
          <w:rFonts w:hint="eastAsia"/>
          <w:color w:val="auto"/>
          <w:lang w:val="en-US" w:eastAsia="zh-CN"/>
        </w:rPr>
      </w:pPr>
    </w:p>
    <w:p>
      <w:pPr>
        <w:pStyle w:val="4"/>
        <w:keepNext w:val="0"/>
        <w:keepLines w:val="0"/>
        <w:pageBreakBefore w:val="0"/>
        <w:widowControl w:val="0"/>
        <w:kinsoku/>
        <w:wordWrap/>
        <w:overflowPunct/>
        <w:topLinePunct w:val="0"/>
        <w:autoSpaceDE w:val="0"/>
        <w:autoSpaceDN w:val="0"/>
        <w:bidi w:val="0"/>
        <w:adjustRightInd w:val="0"/>
        <w:snapToGrid/>
        <w:spacing w:line="560" w:lineRule="exact"/>
        <w:ind w:left="0" w:leftChars="0" w:right="0" w:rightChars="0" w:firstLine="0" w:firstLineChars="0"/>
        <w:jc w:val="left"/>
        <w:textAlignment w:val="auto"/>
        <w:outlineLvl w:val="9"/>
        <w:rPr>
          <w:rFonts w:hint="eastAsia"/>
          <w:color w:val="auto"/>
          <w:lang w:val="en-US" w:eastAsia="zh-CN"/>
        </w:rPr>
      </w:pPr>
    </w:p>
    <w:p>
      <w:pPr>
        <w:pStyle w:val="4"/>
        <w:keepNext w:val="0"/>
        <w:keepLines w:val="0"/>
        <w:pageBreakBefore w:val="0"/>
        <w:widowControl w:val="0"/>
        <w:kinsoku/>
        <w:wordWrap/>
        <w:overflowPunct/>
        <w:topLinePunct w:val="0"/>
        <w:autoSpaceDE w:val="0"/>
        <w:autoSpaceDN w:val="0"/>
        <w:bidi w:val="0"/>
        <w:adjustRightInd w:val="0"/>
        <w:snapToGrid/>
        <w:spacing w:line="560" w:lineRule="exact"/>
        <w:ind w:left="0" w:leftChars="0" w:right="0" w:rightChars="0" w:firstLine="0" w:firstLineChars="0"/>
        <w:jc w:val="left"/>
        <w:textAlignment w:val="auto"/>
        <w:outlineLvl w:val="9"/>
        <w:rPr>
          <w:rFonts w:hint="eastAsia"/>
          <w:color w:val="auto"/>
          <w:lang w:val="en-US" w:eastAsia="zh-CN"/>
        </w:rPr>
      </w:pPr>
    </w:p>
    <w:p>
      <w:pPr>
        <w:pStyle w:val="4"/>
        <w:keepNext w:val="0"/>
        <w:keepLines w:val="0"/>
        <w:pageBreakBefore w:val="0"/>
        <w:widowControl w:val="0"/>
        <w:kinsoku/>
        <w:wordWrap/>
        <w:overflowPunct/>
        <w:topLinePunct w:val="0"/>
        <w:autoSpaceDE w:val="0"/>
        <w:autoSpaceDN w:val="0"/>
        <w:bidi w:val="0"/>
        <w:adjustRightInd w:val="0"/>
        <w:snapToGrid/>
        <w:spacing w:line="560" w:lineRule="exact"/>
        <w:ind w:left="0" w:leftChars="0" w:right="0" w:rightChars="0" w:firstLine="0" w:firstLineChars="0"/>
        <w:jc w:val="left"/>
        <w:textAlignment w:val="auto"/>
        <w:outlineLvl w:val="9"/>
        <w:rPr>
          <w:rFonts w:hint="eastAsia"/>
          <w:color w:val="auto"/>
          <w:lang w:val="en-US" w:eastAsia="zh-CN"/>
        </w:rPr>
      </w:pPr>
    </w:p>
    <w:p>
      <w:pPr>
        <w:pStyle w:val="4"/>
        <w:keepNext w:val="0"/>
        <w:keepLines w:val="0"/>
        <w:pageBreakBefore w:val="0"/>
        <w:widowControl w:val="0"/>
        <w:kinsoku/>
        <w:wordWrap/>
        <w:overflowPunct/>
        <w:topLinePunct w:val="0"/>
        <w:autoSpaceDE w:val="0"/>
        <w:autoSpaceDN w:val="0"/>
        <w:bidi w:val="0"/>
        <w:adjustRightInd w:val="0"/>
        <w:snapToGrid/>
        <w:spacing w:line="560" w:lineRule="exact"/>
        <w:ind w:left="0" w:leftChars="0" w:right="0" w:rightChars="0" w:firstLine="0" w:firstLineChars="0"/>
        <w:jc w:val="left"/>
        <w:textAlignment w:val="auto"/>
        <w:outlineLvl w:val="9"/>
        <w:rPr>
          <w:rFonts w:hint="eastAsia"/>
          <w:color w:val="auto"/>
          <w:lang w:val="en-US" w:eastAsia="zh-CN"/>
        </w:rPr>
      </w:pPr>
    </w:p>
    <w:p>
      <w:pPr>
        <w:pStyle w:val="4"/>
        <w:keepNext w:val="0"/>
        <w:keepLines w:val="0"/>
        <w:pageBreakBefore w:val="0"/>
        <w:widowControl w:val="0"/>
        <w:kinsoku/>
        <w:wordWrap/>
        <w:overflowPunct/>
        <w:topLinePunct w:val="0"/>
        <w:autoSpaceDE w:val="0"/>
        <w:autoSpaceDN w:val="0"/>
        <w:bidi w:val="0"/>
        <w:adjustRightInd w:val="0"/>
        <w:snapToGrid/>
        <w:spacing w:line="560" w:lineRule="exact"/>
        <w:ind w:left="0" w:leftChars="0" w:right="0" w:rightChars="0" w:firstLine="0" w:firstLineChars="0"/>
        <w:jc w:val="left"/>
        <w:textAlignment w:val="auto"/>
        <w:outlineLvl w:val="9"/>
        <w:rPr>
          <w:rFonts w:hint="eastAsia"/>
          <w:color w:val="auto"/>
          <w:lang w:val="en-US" w:eastAsia="zh-CN"/>
        </w:rPr>
      </w:pPr>
    </w:p>
    <w:p>
      <w:pPr>
        <w:pStyle w:val="4"/>
        <w:keepNext w:val="0"/>
        <w:keepLines w:val="0"/>
        <w:pageBreakBefore w:val="0"/>
        <w:widowControl w:val="0"/>
        <w:kinsoku/>
        <w:wordWrap/>
        <w:overflowPunct/>
        <w:topLinePunct w:val="0"/>
        <w:autoSpaceDE w:val="0"/>
        <w:autoSpaceDN w:val="0"/>
        <w:bidi w:val="0"/>
        <w:adjustRightInd w:val="0"/>
        <w:snapToGrid/>
        <w:spacing w:line="560" w:lineRule="exact"/>
        <w:ind w:left="0" w:leftChars="0" w:right="0" w:rightChars="0" w:firstLine="0" w:firstLineChars="0"/>
        <w:jc w:val="left"/>
        <w:textAlignment w:val="auto"/>
        <w:outlineLvl w:val="9"/>
        <w:rPr>
          <w:rFonts w:hint="eastAsia"/>
          <w:color w:val="auto"/>
          <w:lang w:val="en-US" w:eastAsia="zh-CN"/>
        </w:rPr>
      </w:pPr>
    </w:p>
    <w:p>
      <w:pPr>
        <w:pStyle w:val="4"/>
        <w:keepNext w:val="0"/>
        <w:keepLines w:val="0"/>
        <w:pageBreakBefore w:val="0"/>
        <w:widowControl w:val="0"/>
        <w:kinsoku/>
        <w:wordWrap/>
        <w:overflowPunct/>
        <w:topLinePunct w:val="0"/>
        <w:autoSpaceDE w:val="0"/>
        <w:autoSpaceDN w:val="0"/>
        <w:bidi w:val="0"/>
        <w:adjustRightInd w:val="0"/>
        <w:snapToGrid/>
        <w:spacing w:line="560" w:lineRule="exact"/>
        <w:ind w:left="0" w:leftChars="0" w:right="0" w:rightChars="0" w:firstLine="0" w:firstLineChars="0"/>
        <w:jc w:val="left"/>
        <w:textAlignment w:val="auto"/>
        <w:outlineLvl w:val="9"/>
        <w:rPr>
          <w:rFonts w:hint="eastAsia"/>
          <w:color w:val="auto"/>
          <w:lang w:val="en-US" w:eastAsia="zh-CN"/>
        </w:rPr>
      </w:pPr>
    </w:p>
    <w:p>
      <w:pPr>
        <w:pStyle w:val="4"/>
        <w:keepNext w:val="0"/>
        <w:keepLines w:val="0"/>
        <w:pageBreakBefore w:val="0"/>
        <w:widowControl w:val="0"/>
        <w:kinsoku/>
        <w:wordWrap/>
        <w:overflowPunct/>
        <w:topLinePunct w:val="0"/>
        <w:autoSpaceDE w:val="0"/>
        <w:autoSpaceDN w:val="0"/>
        <w:bidi w:val="0"/>
        <w:adjustRightInd w:val="0"/>
        <w:snapToGrid/>
        <w:spacing w:line="560" w:lineRule="exact"/>
        <w:ind w:left="0" w:leftChars="0" w:right="0" w:rightChars="0" w:firstLine="0" w:firstLineChars="0"/>
        <w:jc w:val="left"/>
        <w:textAlignment w:val="auto"/>
        <w:outlineLvl w:val="9"/>
        <w:rPr>
          <w:rFonts w:hint="eastAsia"/>
          <w:color w:val="auto"/>
          <w:lang w:val="en-US" w:eastAsia="zh-CN"/>
        </w:rPr>
      </w:pPr>
    </w:p>
    <w:p>
      <w:pPr>
        <w:pStyle w:val="4"/>
        <w:keepNext w:val="0"/>
        <w:keepLines w:val="0"/>
        <w:pageBreakBefore w:val="0"/>
        <w:widowControl w:val="0"/>
        <w:kinsoku/>
        <w:wordWrap/>
        <w:overflowPunct/>
        <w:topLinePunct w:val="0"/>
        <w:autoSpaceDE w:val="0"/>
        <w:autoSpaceDN w:val="0"/>
        <w:bidi w:val="0"/>
        <w:adjustRightInd w:val="0"/>
        <w:snapToGrid/>
        <w:spacing w:line="560" w:lineRule="exact"/>
        <w:ind w:left="0" w:leftChars="0" w:right="0" w:rightChars="0" w:firstLine="0" w:firstLineChars="0"/>
        <w:jc w:val="left"/>
        <w:textAlignment w:val="auto"/>
        <w:outlineLvl w:val="9"/>
        <w:rPr>
          <w:rFonts w:hint="eastAsia"/>
          <w:color w:val="auto"/>
          <w:lang w:val="en-US" w:eastAsia="zh-CN"/>
        </w:rPr>
      </w:pPr>
    </w:p>
    <w:p>
      <w:pPr>
        <w:pStyle w:val="4"/>
        <w:keepNext w:val="0"/>
        <w:keepLines w:val="0"/>
        <w:pageBreakBefore w:val="0"/>
        <w:widowControl w:val="0"/>
        <w:kinsoku/>
        <w:wordWrap/>
        <w:overflowPunct/>
        <w:topLinePunct w:val="0"/>
        <w:autoSpaceDE w:val="0"/>
        <w:autoSpaceDN w:val="0"/>
        <w:bidi w:val="0"/>
        <w:adjustRightInd w:val="0"/>
        <w:snapToGrid/>
        <w:spacing w:line="560" w:lineRule="exact"/>
        <w:ind w:left="0" w:leftChars="0" w:right="0" w:rightChars="0" w:firstLine="0" w:firstLineChars="0"/>
        <w:jc w:val="left"/>
        <w:textAlignment w:val="auto"/>
        <w:outlineLvl w:val="9"/>
        <w:rPr>
          <w:rFonts w:hint="eastAsia"/>
          <w:color w:val="auto"/>
          <w:lang w:val="en-US" w:eastAsia="zh-CN"/>
        </w:rPr>
      </w:pPr>
    </w:p>
    <w:p>
      <w:pPr>
        <w:pStyle w:val="4"/>
        <w:keepNext w:val="0"/>
        <w:keepLines w:val="0"/>
        <w:pageBreakBefore w:val="0"/>
        <w:widowControl w:val="0"/>
        <w:kinsoku/>
        <w:wordWrap/>
        <w:overflowPunct/>
        <w:topLinePunct w:val="0"/>
        <w:autoSpaceDE w:val="0"/>
        <w:autoSpaceDN w:val="0"/>
        <w:bidi w:val="0"/>
        <w:adjustRightInd w:val="0"/>
        <w:snapToGrid/>
        <w:spacing w:line="560" w:lineRule="exact"/>
        <w:ind w:left="0" w:leftChars="0" w:right="0" w:rightChars="0" w:firstLine="0" w:firstLineChars="0"/>
        <w:jc w:val="left"/>
        <w:textAlignment w:val="auto"/>
        <w:outlineLvl w:val="9"/>
        <w:rPr>
          <w:rFonts w:hint="eastAsia"/>
          <w:color w:val="auto"/>
          <w:lang w:val="en-US" w:eastAsia="zh-CN"/>
        </w:rPr>
      </w:pPr>
    </w:p>
    <w:p>
      <w:pPr>
        <w:pStyle w:val="4"/>
        <w:keepNext w:val="0"/>
        <w:keepLines w:val="0"/>
        <w:pageBreakBefore w:val="0"/>
        <w:widowControl w:val="0"/>
        <w:kinsoku/>
        <w:wordWrap/>
        <w:overflowPunct/>
        <w:topLinePunct w:val="0"/>
        <w:autoSpaceDE w:val="0"/>
        <w:autoSpaceDN w:val="0"/>
        <w:bidi w:val="0"/>
        <w:adjustRightInd w:val="0"/>
        <w:snapToGrid/>
        <w:spacing w:line="560" w:lineRule="exact"/>
        <w:ind w:left="0" w:leftChars="0" w:right="0" w:rightChars="0" w:firstLine="0" w:firstLineChars="0"/>
        <w:jc w:val="left"/>
        <w:textAlignment w:val="auto"/>
        <w:outlineLvl w:val="9"/>
        <w:rPr>
          <w:rFonts w:hint="eastAsia"/>
          <w:color w:val="auto"/>
          <w:lang w:val="en-US" w:eastAsia="zh-CN"/>
        </w:rPr>
      </w:pPr>
    </w:p>
    <w:p>
      <w:pPr>
        <w:pStyle w:val="4"/>
        <w:keepNext w:val="0"/>
        <w:keepLines w:val="0"/>
        <w:pageBreakBefore w:val="0"/>
        <w:widowControl w:val="0"/>
        <w:kinsoku/>
        <w:wordWrap/>
        <w:overflowPunct/>
        <w:topLinePunct w:val="0"/>
        <w:autoSpaceDE w:val="0"/>
        <w:autoSpaceDN w:val="0"/>
        <w:bidi w:val="0"/>
        <w:adjustRightInd w:val="0"/>
        <w:snapToGrid/>
        <w:spacing w:line="560" w:lineRule="exact"/>
        <w:ind w:left="0" w:leftChars="0" w:right="0" w:rightChars="0" w:firstLine="0" w:firstLineChars="0"/>
        <w:jc w:val="left"/>
        <w:textAlignment w:val="auto"/>
        <w:outlineLvl w:val="9"/>
        <w:rPr>
          <w:rFonts w:hint="eastAsia"/>
          <w:color w:val="auto"/>
          <w:lang w:val="en-US" w:eastAsia="zh-CN"/>
        </w:rPr>
      </w:pPr>
    </w:p>
    <w:p>
      <w:pPr>
        <w:pStyle w:val="4"/>
        <w:keepNext w:val="0"/>
        <w:keepLines w:val="0"/>
        <w:pageBreakBefore w:val="0"/>
        <w:widowControl w:val="0"/>
        <w:kinsoku/>
        <w:wordWrap/>
        <w:overflowPunct/>
        <w:topLinePunct w:val="0"/>
        <w:autoSpaceDE w:val="0"/>
        <w:autoSpaceDN w:val="0"/>
        <w:bidi w:val="0"/>
        <w:adjustRightInd w:val="0"/>
        <w:snapToGrid/>
        <w:spacing w:line="560" w:lineRule="exact"/>
        <w:ind w:left="0" w:leftChars="0" w:right="0" w:rightChars="0" w:firstLine="0" w:firstLineChars="0"/>
        <w:jc w:val="left"/>
        <w:textAlignment w:val="auto"/>
        <w:outlineLvl w:val="9"/>
        <w:rPr>
          <w:rFonts w:hint="eastAsia"/>
          <w:color w:val="auto"/>
          <w:lang w:val="en-US" w:eastAsia="zh-CN"/>
        </w:rPr>
      </w:pPr>
      <w:r>
        <w:rPr>
          <w:rFonts w:hint="eastAsia" w:ascii="仿宋_GB2312" w:hAnsi="仿宋_GB2312" w:eastAsia="仿宋_GB2312" w:cs="仿宋_GB2312"/>
          <w:color w:val="auto"/>
          <w:sz w:val="28"/>
          <w:szCs w:val="28"/>
        </w:rPr>
        <mc:AlternateContent>
          <mc:Choice Requires="wps">
            <w:drawing>
              <wp:anchor distT="0" distB="0" distL="114300" distR="114300" simplePos="0" relativeHeight="251660288" behindDoc="0" locked="0" layoutInCell="1" allowOverlap="1">
                <wp:simplePos x="0" y="0"/>
                <wp:positionH relativeFrom="column">
                  <wp:posOffset>17145</wp:posOffset>
                </wp:positionH>
                <wp:positionV relativeFrom="paragraph">
                  <wp:posOffset>372745</wp:posOffset>
                </wp:positionV>
                <wp:extent cx="5615940" cy="0"/>
                <wp:effectExtent l="0" t="0" r="0" b="0"/>
                <wp:wrapNone/>
                <wp:docPr id="6" name="直线 3"/>
                <wp:cNvGraphicFramePr/>
                <a:graphic xmlns:a="http://schemas.openxmlformats.org/drawingml/2006/main">
                  <a:graphicData uri="http://schemas.microsoft.com/office/word/2010/wordprocessingShape">
                    <wps:wsp>
                      <wps:cNvCnPr/>
                      <wps:spPr>
                        <a:xfrm>
                          <a:off x="0" y="0"/>
                          <a:ext cx="5615940" cy="0"/>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直线 3" o:spid="_x0000_s1026" o:spt="20" style="position:absolute;left:0pt;margin-left:1.35pt;margin-top:29.35pt;height:0pt;width:442.2pt;z-index:251660288;mso-width-relative:page;mso-height-relative:page;" filled="f" stroked="t" coordsize="21600,21600" o:gfxdata="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V+ccVdUA&#10;AAAHAQAADwAAAAAAAAABACAAAAAiAAAAZHJzL2Rvd25yZXYueG1sUEsBAhQAFAAAAAgAh07iQFX/&#10;R1XpAQAA3AMAAA4AAAAAAAAAAQAgAAAAJAEAAGRycy9lMm9Eb2MueG1sUEsFBgAAAAAGAAYAWQEA&#10;AH8FAAAAAA==&#10;">
                <v:fill on="f" focussize="0,0"/>
                <v:stroke weight="1.25pt" color="#000000" joinstyle="round"/>
                <v:imagedata o:title=""/>
                <o:lock v:ext="edit" aspectratio="f"/>
              </v:line>
            </w:pict>
          </mc:Fallback>
        </mc:AlternateConten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 xml:space="preserve">  主送：各市</w:t>
      </w:r>
      <w:r>
        <w:rPr>
          <w:rFonts w:hint="eastAsia" w:ascii="仿宋_GB2312" w:hAnsi="仿宋_GB2312" w:eastAsia="仿宋_GB2312" w:cs="仿宋_GB2312"/>
          <w:color w:val="auto"/>
          <w:sz w:val="28"/>
          <w:szCs w:val="28"/>
          <w:lang w:val="en-US" w:eastAsia="zh"/>
        </w:rPr>
        <w:t>党委</w:t>
      </w:r>
      <w:r>
        <w:rPr>
          <w:rFonts w:hint="eastAsia" w:ascii="仿宋_GB2312" w:hAnsi="仿宋_GB2312" w:eastAsia="仿宋_GB2312" w:cs="仿宋_GB2312"/>
          <w:color w:val="auto"/>
          <w:sz w:val="28"/>
          <w:szCs w:val="28"/>
          <w:lang w:val="en-US" w:eastAsia="zh-CN"/>
        </w:rPr>
        <w:t>编办</w:t>
      </w:r>
      <w:r>
        <w:rPr>
          <w:rFonts w:hint="eastAsia" w:ascii="仿宋_GB2312" w:hAnsi="仿宋_GB2312" w:eastAsia="仿宋_GB2312" w:cs="仿宋_GB2312"/>
          <w:color w:val="auto"/>
          <w:sz w:val="28"/>
          <w:szCs w:val="28"/>
          <w:lang w:val="en-US" w:eastAsia="zh"/>
        </w:rPr>
        <w:t>，政府</w:t>
      </w:r>
      <w:r>
        <w:rPr>
          <w:rFonts w:hint="eastAsia" w:ascii="仿宋_GB2312" w:hAnsi="仿宋_GB2312" w:eastAsia="仿宋_GB2312" w:cs="仿宋_GB2312"/>
          <w:color w:val="auto"/>
          <w:sz w:val="28"/>
          <w:szCs w:val="28"/>
          <w:lang w:val="en-US" w:eastAsia="zh-CN"/>
        </w:rPr>
        <w:t>人力资源社会保障局、发展改革委、教育（教</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 xml:space="preserve">        体）局、科技局、公安局、民政局、财政局、退役军人局</w:t>
      </w:r>
      <w:r>
        <w:rPr>
          <w:rFonts w:hint="eastAsia" w:ascii="仿宋_GB2312" w:hAnsi="仿宋_GB2312" w:eastAsia="仿宋_GB2312" w:cs="仿宋_GB2312"/>
          <w:color w:val="auto"/>
          <w:sz w:val="28"/>
          <w:szCs w:val="28"/>
          <w:lang w:val="en-US" w:eastAsia="zh"/>
        </w:rPr>
        <w:t>、</w:t>
      </w:r>
      <w:r>
        <w:rPr>
          <w:rFonts w:hint="eastAsia" w:ascii="仿宋_GB2312" w:hAnsi="仿宋_GB2312" w:eastAsia="仿宋_GB2312" w:cs="仿宋_GB2312"/>
          <w:color w:val="auto"/>
          <w:sz w:val="28"/>
          <w:szCs w:val="28"/>
          <w:lang w:val="en-US" w:eastAsia="zh-CN"/>
        </w:rPr>
        <w:t>市场</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default" w:ascii="Times New Roman" w:hAnsi="Times New Roman" w:eastAsia="仿宋_GB2312" w:cs="Times New Roman"/>
          <w:color w:val="auto"/>
          <w:spacing w:val="-5"/>
          <w:sz w:val="28"/>
          <w:szCs w:val="28"/>
        </w:rPr>
      </w:pPr>
      <w:r>
        <w:rPr>
          <w:rFonts w:hint="eastAsia" w:ascii="仿宋_GB2312" w:hAnsi="仿宋_GB2312" w:eastAsia="仿宋_GB2312" w:cs="仿宋_GB2312"/>
          <w:color w:val="auto"/>
          <w:sz w:val="28"/>
          <w:szCs w:val="28"/>
          <w:lang w:val="en-US" w:eastAsia="zh-CN"/>
        </w:rPr>
        <w:t xml:space="preserve">        </w:t>
      </w:r>
      <w:r>
        <w:rPr>
          <w:rFonts w:hint="eastAsia" w:ascii="仿宋_GB2312" w:hAnsi="仿宋_GB2312" w:eastAsia="仿宋_GB2312" w:cs="仿宋_GB2312"/>
          <w:color w:val="auto"/>
          <w:spacing w:val="-5"/>
          <w:sz w:val="28"/>
          <w:szCs w:val="28"/>
          <w:lang w:val="en-US" w:eastAsia="zh-CN"/>
        </w:rPr>
        <w:t>监管局、统计局、大数据局，残联、妇联，各大企业，各高等院校。</w:t>
      </w:r>
    </w:p>
    <w:p>
      <w:pPr>
        <w:ind w:firstLine="276" w:firstLineChars="1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2540</wp:posOffset>
                </wp:positionV>
                <wp:extent cx="5615940" cy="0"/>
                <wp:effectExtent l="0" t="0" r="0" b="0"/>
                <wp:wrapNone/>
                <wp:docPr id="11" name="直线 3"/>
                <wp:cNvGraphicFramePr/>
                <a:graphic xmlns:a="http://schemas.openxmlformats.org/drawingml/2006/main">
                  <a:graphicData uri="http://schemas.microsoft.com/office/word/2010/wordprocessingShape">
                    <wps:wsp>
                      <wps:cNvCnPr/>
                      <wps:spPr>
                        <a:xfrm>
                          <a:off x="0" y="0"/>
                          <a:ext cx="5615940" cy="0"/>
                        </a:xfrm>
                        <a:prstGeom prst="line">
                          <a:avLst/>
                        </a:prstGeom>
                        <a:ln w="6350" cap="flat" cmpd="sng">
                          <a:solidFill>
                            <a:srgbClr val="000000"/>
                          </a:solidFill>
                          <a:prstDash val="solid"/>
                          <a:headEnd type="none" w="med" len="med"/>
                          <a:tailEnd type="none" w="med" len="med"/>
                        </a:ln>
                      </wps:spPr>
                      <wps:bodyPr upright="1"/>
                    </wps:wsp>
                  </a:graphicData>
                </a:graphic>
              </wp:anchor>
            </w:drawing>
          </mc:Choice>
          <mc:Fallback>
            <w:pict>
              <v:line id="直线 3" o:spid="_x0000_s1026" o:spt="20" style="position:absolute;left:0pt;margin-left:0pt;margin-top:0.2pt;height:0pt;width:442.2pt;z-index:251663360;mso-width-relative:page;mso-height-relative:page;" filled="f" stroked="t" coordsize="21600,21600" o:gfxdata="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Pu716jQAAAAAgEA&#10;AA8AAAAAAAAAAQAgAAAAIgAAAGRycy9kb3ducmV2LnhtbFBLAQIUABQAAAAIAIdO4kDor3/86QEA&#10;ANwDAAAOAAAAAAAAAAEAIAAAAB8BAABkcnMvZTJvRG9jLnhtbFBLBQYAAAAABgAGAFkBAAB6BQAA&#10;AAA=&#10;">
                <v:fill on="f" focussize="0,0"/>
                <v:stroke weight="0.5pt" color="#000000" joinstyle="round"/>
                <v:imagedata o:title=""/>
                <o:lock v:ext="edit" aspectratio="f"/>
              </v:line>
            </w:pict>
          </mc:Fallback>
        </mc:AlternateContent>
      </w:r>
      <w:r>
        <w:rPr>
          <w:rFonts w:hint="eastAsia" w:ascii="仿宋_GB2312" w:hAnsi="仿宋_GB2312" w:eastAsia="仿宋_GB2312" w:cs="仿宋_GB2312"/>
          <w:color w:val="auto"/>
          <w:sz w:val="28"/>
          <w:szCs w:val="28"/>
        </w:rPr>
        <w:t>山东省人力资源和社会保障厅办公室         202</w:t>
      </w:r>
      <w:r>
        <w:rPr>
          <w:rFonts w:hint="eastAsia" w:ascii="仿宋_GB2312" w:hAnsi="仿宋_GB2312" w:eastAsia="仿宋_GB2312" w:cs="仿宋_GB2312"/>
          <w:color w:val="auto"/>
          <w:sz w:val="28"/>
          <w:szCs w:val="28"/>
          <w:lang w:val="en-US" w:eastAsia="zh-CN"/>
        </w:rPr>
        <w:t>5</w:t>
      </w:r>
      <w:r>
        <w:rPr>
          <w:rFonts w:hint="eastAsia" w:ascii="仿宋_GB2312" w:hAnsi="仿宋_GB2312" w:eastAsia="仿宋_GB2312" w:cs="仿宋_GB2312"/>
          <w:color w:val="auto"/>
          <w:sz w:val="28"/>
          <w:szCs w:val="28"/>
        </w:rPr>
        <w:t>年</w:t>
      </w:r>
      <w:r>
        <w:rPr>
          <w:rFonts w:hint="eastAsia" w:ascii="仿宋_GB2312" w:hAnsi="仿宋_GB2312" w:eastAsia="仿宋_GB2312" w:cs="仿宋_GB2312"/>
          <w:color w:val="auto"/>
          <w:sz w:val="28"/>
          <w:szCs w:val="28"/>
          <w:lang w:val="en-US" w:eastAsia="zh-CN"/>
        </w:rPr>
        <w:t>8</w:t>
      </w:r>
      <w:r>
        <w:rPr>
          <w:rFonts w:hint="eastAsia" w:ascii="仿宋_GB2312" w:hAnsi="仿宋_GB2312" w:eastAsia="仿宋_GB2312" w:cs="仿宋_GB2312"/>
          <w:color w:val="auto"/>
          <w:sz w:val="28"/>
          <w:szCs w:val="28"/>
        </w:rPr>
        <w:t>月</w:t>
      </w:r>
      <w:r>
        <w:rPr>
          <w:rFonts w:hint="eastAsia" w:ascii="仿宋_GB2312" w:hAnsi="仿宋_GB2312" w:eastAsia="仿宋_GB2312" w:cs="仿宋_GB2312"/>
          <w:color w:val="auto"/>
          <w:sz w:val="28"/>
          <w:szCs w:val="28"/>
          <w:lang w:val="en-US" w:eastAsia="zh-CN"/>
        </w:rPr>
        <w:t>1</w:t>
      </w:r>
      <w:r>
        <w:rPr>
          <w:rFonts w:hint="eastAsia" w:ascii="仿宋_GB2312" w:hAnsi="仿宋_GB2312" w:eastAsia="仿宋_GB2312" w:cs="仿宋_GB2312"/>
          <w:color w:val="auto"/>
          <w:sz w:val="28"/>
          <w:szCs w:val="28"/>
        </w:rPr>
        <w:t>日印发</w:t>
      </w:r>
    </w:p>
    <w:p>
      <w:pPr>
        <w:ind w:right="552" w:firstLine="276" w:firstLineChars="100"/>
        <w:rPr>
          <w:rFonts w:hint="eastAsia"/>
          <w:color w:val="auto"/>
          <w:lang w:val="en-US" w:eastAsia="zh-CN"/>
        </w:rPr>
      </w:pPr>
      <w:r>
        <w:rPr>
          <w:rFonts w:hint="eastAsia" w:ascii="仿宋_GB2312" w:hAnsi="仿宋_GB2312" w:eastAsia="仿宋_GB2312" w:cs="仿宋_GB2312"/>
          <w:color w:val="auto"/>
          <w:sz w:val="28"/>
          <w:szCs w:val="28"/>
        </w:rPr>
        <mc:AlternateContent>
          <mc:Choice Requires="wps">
            <w:drawing>
              <wp:anchor distT="0" distB="0" distL="114300" distR="114300" simplePos="0" relativeHeight="251662336" behindDoc="0" locked="0" layoutInCell="1" allowOverlap="1">
                <wp:simplePos x="0" y="0"/>
                <wp:positionH relativeFrom="column">
                  <wp:posOffset>25400</wp:posOffset>
                </wp:positionH>
                <wp:positionV relativeFrom="paragraph">
                  <wp:posOffset>3810</wp:posOffset>
                </wp:positionV>
                <wp:extent cx="5615940" cy="0"/>
                <wp:effectExtent l="0" t="0" r="0" b="0"/>
                <wp:wrapNone/>
                <wp:docPr id="9" name="直线 3"/>
                <wp:cNvGraphicFramePr/>
                <a:graphic xmlns:a="http://schemas.openxmlformats.org/drawingml/2006/main">
                  <a:graphicData uri="http://schemas.microsoft.com/office/word/2010/wordprocessingShape">
                    <wps:wsp>
                      <wps:cNvCnPr/>
                      <wps:spPr>
                        <a:xfrm>
                          <a:off x="0" y="0"/>
                          <a:ext cx="5615940" cy="0"/>
                        </a:xfrm>
                        <a:prstGeom prst="line">
                          <a:avLst/>
                        </a:prstGeom>
                        <a:ln w="6350" cap="flat" cmpd="sng">
                          <a:solidFill>
                            <a:srgbClr val="000000"/>
                          </a:solidFill>
                          <a:prstDash val="solid"/>
                          <a:headEnd type="none" w="med" len="med"/>
                          <a:tailEnd type="none" w="med" len="med"/>
                        </a:ln>
                      </wps:spPr>
                      <wps:bodyPr upright="1"/>
                    </wps:wsp>
                  </a:graphicData>
                </a:graphic>
              </wp:anchor>
            </w:drawing>
          </mc:Choice>
          <mc:Fallback>
            <w:pict>
              <v:line id="直线 3" o:spid="_x0000_s1026" o:spt="20" style="position:absolute;left:0pt;margin-left:2pt;margin-top:0.3pt;height:0pt;width:442.2pt;z-index:251662336;mso-width-relative:page;mso-height-relative:page;" filled="f" stroked="t" coordsize="21600,21600" o:gfxdata="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FYUd4rRAAAAAwEA&#10;AA8AAAAAAAAAAQAgAAAAIgAAAGRycy9kb3ducmV2LnhtbFBLAQIUABQAAAAIAIdO4kA6Edms6AEA&#10;ANsDAAAOAAAAAAAAAAEAIAAAACABAABkcnMvZTJvRG9jLnhtbFBLBQYAAAAABgAGAFkBAAB6BQAA&#10;AAA=&#10;">
                <v:fill on="f" focussize="0,0"/>
                <v:stroke weight="0.5pt" color="#000000" joinstyle="round"/>
                <v:imagedata o:title=""/>
                <o:lock v:ext="edit" aspectratio="f"/>
              </v:line>
            </w:pict>
          </mc:Fallback>
        </mc:AlternateContent>
      </w:r>
      <w:r>
        <w:rPr>
          <w:rFonts w:hint="eastAsia" w:ascii="仿宋_GB2312" w:hAnsi="仿宋_GB2312" w:eastAsia="仿宋_GB2312" w:cs="仿宋_GB2312"/>
          <w:color w:val="auto"/>
          <w:sz w:val="28"/>
          <w:szCs w:val="28"/>
        </w:rPr>
        <mc:AlternateContent>
          <mc:Choice Requires="wps">
            <w:drawing>
              <wp:anchor distT="0" distB="0" distL="114300" distR="114300" simplePos="0" relativeHeight="251661312" behindDoc="0" locked="0" layoutInCell="1" allowOverlap="1">
                <wp:simplePos x="0" y="0"/>
                <wp:positionH relativeFrom="column">
                  <wp:align>center</wp:align>
                </wp:positionH>
                <wp:positionV relativeFrom="paragraph">
                  <wp:posOffset>351790</wp:posOffset>
                </wp:positionV>
                <wp:extent cx="5615940" cy="0"/>
                <wp:effectExtent l="0" t="0" r="0" b="0"/>
                <wp:wrapNone/>
                <wp:docPr id="3" name="直线 5"/>
                <wp:cNvGraphicFramePr/>
                <a:graphic xmlns:a="http://schemas.openxmlformats.org/drawingml/2006/main">
                  <a:graphicData uri="http://schemas.microsoft.com/office/word/2010/wordprocessingShape">
                    <wps:wsp>
                      <wps:cNvCnPr/>
                      <wps:spPr>
                        <a:xfrm>
                          <a:off x="0" y="0"/>
                          <a:ext cx="5615940" cy="0"/>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直线 5" o:spid="_x0000_s1026" o:spt="20" style="position:absolute;left:0pt;margin-top:27.7pt;height:0pt;width:442.2pt;mso-position-horizontal:center;z-index:251661312;mso-width-relative:page;mso-height-relative:page;" filled="f" stroked="t" coordsize="21600,21600" o:gfxdata="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C+tEInW&#10;AAAABgEAAA8AAAAAAAAAAQAgAAAAIgAAAGRycy9kb3ducmV2LnhtbFBLAQIUABQAAAAIAIdO4kBS&#10;p/MS6QEAANwDAAAOAAAAAAAAAAEAIAAAACUBAABkcnMvZTJvRG9jLnhtbFBLBQYAAAAABgAGAFkB&#10;AACABQAAAAA=&#10;">
                <v:fill on="f" focussize="0,0"/>
                <v:stroke weight="1.25pt" color="#000000" joinstyle="round"/>
                <v:imagedata o:title=""/>
                <o:lock v:ext="edit" aspectratio="f"/>
              </v:line>
            </w:pict>
          </mc:Fallback>
        </mc:AlternateContent>
      </w:r>
      <w:r>
        <w:rPr>
          <w:rFonts w:hint="eastAsia" w:ascii="仿宋_GB2312" w:hAnsi="仿宋_GB2312" w:eastAsia="仿宋_GB2312" w:cs="仿宋_GB2312"/>
          <w:color w:val="auto"/>
          <w:sz w:val="28"/>
          <w:szCs w:val="28"/>
        </w:rPr>
        <w:t>校核人：</w:t>
      </w:r>
      <w:r>
        <w:rPr>
          <w:rFonts w:hint="eastAsia" w:ascii="仿宋_GB2312" w:hAnsi="仿宋_GB2312" w:eastAsia="仿宋_GB2312" w:cs="仿宋_GB2312"/>
          <w:color w:val="auto"/>
          <w:sz w:val="28"/>
          <w:szCs w:val="28"/>
          <w:lang w:eastAsia="zh-CN"/>
        </w:rPr>
        <w:t>杨高扬</w:t>
      </w:r>
    </w:p>
    <w:sectPr>
      <w:pgSz w:w="11906" w:h="16838"/>
      <w:pgMar w:top="2098" w:right="1531" w:bottom="1814" w:left="1531" w:header="851" w:footer="1587" w:gutter="0"/>
      <w:pgBorders>
        <w:top w:val="none" w:sz="0" w:space="0"/>
        <w:left w:val="none" w:sz="0" w:space="0"/>
        <w:bottom w:val="none" w:sz="0" w:space="0"/>
        <w:right w:val="none" w:sz="0" w:space="0"/>
      </w:pgBorders>
      <w:pgNumType w:fmt="decimal"/>
      <w:cols w:space="0" w:num="1"/>
      <w:titlePg/>
      <w:rtlGutter w:val="0"/>
      <w:docGrid w:type="linesAndChars" w:linePitch="587"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BEFA414-B786-463F-B8B2-2BB7F5B80B25}"/>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方正小标宋简体">
    <w:panose1 w:val="03000509000000000000"/>
    <w:charset w:val="86"/>
    <w:family w:val="script"/>
    <w:pitch w:val="default"/>
    <w:sig w:usb0="00000001" w:usb1="080E0000" w:usb2="00000000" w:usb3="00000000" w:csb0="00040000" w:csb1="00000000"/>
    <w:embedRegular r:id="rId2" w:fontKey="{CCE2C948-0A26-4C5A-8C7F-7FEB4CFC603B}"/>
  </w:font>
  <w:font w:name="仿宋_GB2312">
    <w:panose1 w:val="02010609030101010101"/>
    <w:charset w:val="86"/>
    <w:family w:val="swiss"/>
    <w:pitch w:val="default"/>
    <w:sig w:usb0="00000001" w:usb1="080E0000" w:usb2="00000000" w:usb3="00000000" w:csb0="00040000" w:csb1="00000000"/>
    <w:embedRegular r:id="rId3" w:fontKey="{1A79EA2D-21B1-46D1-8F32-21B307FB9368}"/>
  </w:font>
  <w:font w:name="楷体_GB2312">
    <w:panose1 w:val="02010609030101010101"/>
    <w:charset w:val="86"/>
    <w:family w:val="auto"/>
    <w:pitch w:val="default"/>
    <w:sig w:usb0="00000001" w:usb1="080E0000" w:usb2="00000000" w:usb3="00000000" w:csb0="00040000" w:csb1="00000000"/>
    <w:embedRegular r:id="rId4" w:fontKey="{328F8E86-73EB-4DA7-94DB-B437ACA375A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val="0"/>
                            <w:spacing w:line="240" w:lineRule="auto"/>
                            <w:ind w:left="320" w:leftChars="100" w:right="320" w:rightChars="100" w:firstLine="0" w:firstLineChars="0"/>
                            <w:jc w:val="both"/>
                            <w:textAlignment w:val="auto"/>
                            <w:outlineLvl w:val="9"/>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keepNext w:val="0"/>
                      <w:keepLines w:val="0"/>
                      <w:pageBreakBefore w:val="0"/>
                      <w:widowControl w:val="0"/>
                      <w:kinsoku/>
                      <w:wordWrap/>
                      <w:overflowPunct/>
                      <w:topLinePunct w:val="0"/>
                      <w:autoSpaceDE/>
                      <w:autoSpaceDN/>
                      <w:bidi w:val="0"/>
                      <w:adjustRightInd/>
                      <w:snapToGrid w:val="0"/>
                      <w:spacing w:line="240" w:lineRule="auto"/>
                      <w:ind w:left="320" w:leftChars="100" w:right="320" w:rightChars="100" w:firstLine="0" w:firstLineChars="0"/>
                      <w:jc w:val="both"/>
                      <w:textAlignment w:val="auto"/>
                      <w:outlineLvl w:val="9"/>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58"/>
  <w:drawingGridVerticalSpacing w:val="294"/>
  <w:displayHorizontalDrawingGridEvery w:val="2"/>
  <w:displayVerticalDrawingGridEvery w:val="2"/>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BkZTI0N2Q3OTc0NWFmNjgwNzMxOTFjNzNmNTFkYjUifQ=="/>
  </w:docVars>
  <w:rsids>
    <w:rsidRoot w:val="00000000"/>
    <w:rsid w:val="00D50094"/>
    <w:rsid w:val="012810B4"/>
    <w:rsid w:val="016375AF"/>
    <w:rsid w:val="0348654A"/>
    <w:rsid w:val="053D107D"/>
    <w:rsid w:val="05AA599F"/>
    <w:rsid w:val="06C63F9D"/>
    <w:rsid w:val="06E31C01"/>
    <w:rsid w:val="071B4D6C"/>
    <w:rsid w:val="0AE7572F"/>
    <w:rsid w:val="0B9407EB"/>
    <w:rsid w:val="0D445B34"/>
    <w:rsid w:val="0DD95C10"/>
    <w:rsid w:val="0DDA7A7F"/>
    <w:rsid w:val="0E1E407B"/>
    <w:rsid w:val="105E064F"/>
    <w:rsid w:val="11BB73DB"/>
    <w:rsid w:val="143F4A9F"/>
    <w:rsid w:val="14B65C78"/>
    <w:rsid w:val="15AC7766"/>
    <w:rsid w:val="16BD47C2"/>
    <w:rsid w:val="171B3109"/>
    <w:rsid w:val="1873412F"/>
    <w:rsid w:val="18D70F9E"/>
    <w:rsid w:val="191525EB"/>
    <w:rsid w:val="1B794045"/>
    <w:rsid w:val="1D380BF6"/>
    <w:rsid w:val="1EAE0C12"/>
    <w:rsid w:val="1EBF10AC"/>
    <w:rsid w:val="1EF020DA"/>
    <w:rsid w:val="20C92F69"/>
    <w:rsid w:val="21CC4964"/>
    <w:rsid w:val="227B5090"/>
    <w:rsid w:val="240B6071"/>
    <w:rsid w:val="253432D4"/>
    <w:rsid w:val="27523254"/>
    <w:rsid w:val="28296293"/>
    <w:rsid w:val="2C3A1B18"/>
    <w:rsid w:val="2C3F0A8E"/>
    <w:rsid w:val="2C6E17CA"/>
    <w:rsid w:val="2ED341B2"/>
    <w:rsid w:val="2FB129C5"/>
    <w:rsid w:val="2FB8320C"/>
    <w:rsid w:val="2FDE4E17"/>
    <w:rsid w:val="305E74C4"/>
    <w:rsid w:val="30DC7EE5"/>
    <w:rsid w:val="31FA2E24"/>
    <w:rsid w:val="325356E2"/>
    <w:rsid w:val="329B6299"/>
    <w:rsid w:val="33B45C42"/>
    <w:rsid w:val="358C3BA0"/>
    <w:rsid w:val="3902576C"/>
    <w:rsid w:val="392E46C4"/>
    <w:rsid w:val="39A114D3"/>
    <w:rsid w:val="3A710C66"/>
    <w:rsid w:val="3AEA64B7"/>
    <w:rsid w:val="3C8166A0"/>
    <w:rsid w:val="3C9B55C8"/>
    <w:rsid w:val="3DD627FD"/>
    <w:rsid w:val="3E7F3F54"/>
    <w:rsid w:val="3F3852D6"/>
    <w:rsid w:val="3F4D1488"/>
    <w:rsid w:val="3F741AC1"/>
    <w:rsid w:val="3F854A01"/>
    <w:rsid w:val="41505AC1"/>
    <w:rsid w:val="42DF267A"/>
    <w:rsid w:val="449253DB"/>
    <w:rsid w:val="44BA7652"/>
    <w:rsid w:val="45343DF3"/>
    <w:rsid w:val="45A9412E"/>
    <w:rsid w:val="46305F9C"/>
    <w:rsid w:val="46E92BAF"/>
    <w:rsid w:val="4730041C"/>
    <w:rsid w:val="47D035FC"/>
    <w:rsid w:val="48302F33"/>
    <w:rsid w:val="494A1B97"/>
    <w:rsid w:val="4A5F3D71"/>
    <w:rsid w:val="4B4B11F4"/>
    <w:rsid w:val="4B752B13"/>
    <w:rsid w:val="4BC0346C"/>
    <w:rsid w:val="50233A40"/>
    <w:rsid w:val="50651CF5"/>
    <w:rsid w:val="50CF4ED9"/>
    <w:rsid w:val="50FA23BE"/>
    <w:rsid w:val="52195BA8"/>
    <w:rsid w:val="522910A2"/>
    <w:rsid w:val="53853606"/>
    <w:rsid w:val="53A9514E"/>
    <w:rsid w:val="54447A42"/>
    <w:rsid w:val="54E710A0"/>
    <w:rsid w:val="556B548C"/>
    <w:rsid w:val="57265CC5"/>
    <w:rsid w:val="58902A78"/>
    <w:rsid w:val="59054D90"/>
    <w:rsid w:val="59BB693E"/>
    <w:rsid w:val="59F93091"/>
    <w:rsid w:val="5C457116"/>
    <w:rsid w:val="5DBE2E96"/>
    <w:rsid w:val="5E862512"/>
    <w:rsid w:val="5F411184"/>
    <w:rsid w:val="60307B3A"/>
    <w:rsid w:val="61340D76"/>
    <w:rsid w:val="621E445B"/>
    <w:rsid w:val="640839B1"/>
    <w:rsid w:val="653F54CE"/>
    <w:rsid w:val="65794385"/>
    <w:rsid w:val="65AD417A"/>
    <w:rsid w:val="66716EBE"/>
    <w:rsid w:val="678D45A7"/>
    <w:rsid w:val="68FF0175"/>
    <w:rsid w:val="69426F66"/>
    <w:rsid w:val="695113D8"/>
    <w:rsid w:val="6CAD3358"/>
    <w:rsid w:val="6ECE57DC"/>
    <w:rsid w:val="6F793CFC"/>
    <w:rsid w:val="6FBD10E0"/>
    <w:rsid w:val="701266A6"/>
    <w:rsid w:val="735824FE"/>
    <w:rsid w:val="74235F44"/>
    <w:rsid w:val="77336515"/>
    <w:rsid w:val="77E12415"/>
    <w:rsid w:val="783A3F7C"/>
    <w:rsid w:val="78572287"/>
    <w:rsid w:val="79C94C8B"/>
    <w:rsid w:val="7C034455"/>
    <w:rsid w:val="7C261E96"/>
    <w:rsid w:val="7CEC7892"/>
    <w:rsid w:val="7DBA7990"/>
    <w:rsid w:val="7DFF0AD9"/>
    <w:rsid w:val="7E0E5479"/>
    <w:rsid w:val="7F6E6F46"/>
    <w:rsid w:val="7FB535E3"/>
    <w:rsid w:val="BA5EEAF4"/>
    <w:rsid w:val="DE5D75CF"/>
    <w:rsid w:val="E57136CA"/>
    <w:rsid w:val="EFB25541"/>
    <w:rsid w:val="FAFB2CDB"/>
    <w:rsid w:val="FBFBA1F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32"/>
      <w:szCs w:val="32"/>
      <w:lang w:val="en-US" w:eastAsia="zh-CN" w:bidi="ar-SA"/>
    </w:rPr>
  </w:style>
  <w:style w:type="paragraph" w:styleId="5">
    <w:name w:val="heading 1"/>
    <w:basedOn w:val="1"/>
    <w:next w:val="1"/>
    <w:qFormat/>
    <w:uiPriority w:val="0"/>
    <w:pPr>
      <w:keepNext/>
      <w:keepLines/>
      <w:spacing w:before="340" w:after="330" w:line="576" w:lineRule="auto"/>
      <w:outlineLvl w:val="0"/>
    </w:pPr>
    <w:rPr>
      <w:rFonts w:ascii="Times New Roman" w:hAnsi="Times New Roman"/>
      <w:b/>
      <w:bCs/>
      <w:kern w:val="44"/>
      <w:sz w:val="44"/>
      <w:szCs w:val="44"/>
    </w:rPr>
  </w:style>
  <w:style w:type="paragraph" w:styleId="6">
    <w:name w:val="heading 2"/>
    <w:basedOn w:val="1"/>
    <w:next w:val="1"/>
    <w:unhideWhenUsed/>
    <w:qFormat/>
    <w:uiPriority w:val="0"/>
    <w:pPr>
      <w:keepNext/>
      <w:keepLines/>
      <w:spacing w:before="260" w:after="260" w:line="416" w:lineRule="auto"/>
      <w:outlineLvl w:val="1"/>
    </w:pPr>
    <w:rPr>
      <w:rFonts w:ascii="Cambria" w:hAnsi="Cambria" w:eastAsia="宋体" w:cs="Times New Roman"/>
      <w:b/>
      <w:bCs/>
      <w:sz w:val="32"/>
      <w:szCs w:val="32"/>
    </w:rPr>
  </w:style>
  <w:style w:type="paragraph" w:styleId="7">
    <w:name w:val="heading 3"/>
    <w:basedOn w:val="1"/>
    <w:next w:val="1"/>
    <w:qFormat/>
    <w:uiPriority w:val="0"/>
    <w:pPr>
      <w:keepNext/>
      <w:keepLines/>
      <w:spacing w:before="260" w:after="260" w:line="415" w:lineRule="auto"/>
      <w:outlineLvl w:val="2"/>
    </w:pPr>
    <w:rPr>
      <w:rFonts w:ascii="Calibri" w:hAnsi="Calibri" w:eastAsia="宋体" w:cs="Times New Roman"/>
      <w:b/>
      <w:bCs/>
      <w:kern w:val="0"/>
      <w:szCs w:val="32"/>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ind w:firstLine="420" w:firstLineChars="200"/>
    </w:pPr>
  </w:style>
  <w:style w:type="paragraph" w:styleId="3">
    <w:name w:val="Body Text Indent"/>
    <w:basedOn w:val="1"/>
    <w:qFormat/>
    <w:uiPriority w:val="0"/>
    <w:pPr>
      <w:ind w:left="420" w:leftChars="200"/>
    </w:pPr>
  </w:style>
  <w:style w:type="paragraph" w:customStyle="1" w:styleId="4">
    <w:name w:val="Default"/>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paragraph" w:styleId="8">
    <w:name w:val="Normal Indent"/>
    <w:basedOn w:val="1"/>
    <w:next w:val="1"/>
    <w:qFormat/>
    <w:uiPriority w:val="0"/>
    <w:pPr>
      <w:ind w:firstLine="420" w:firstLineChars="200"/>
    </w:pPr>
  </w:style>
  <w:style w:type="paragraph" w:styleId="9">
    <w:name w:val="index 5"/>
    <w:basedOn w:val="1"/>
    <w:next w:val="1"/>
    <w:uiPriority w:val="0"/>
    <w:pPr>
      <w:ind w:left="1680"/>
    </w:pPr>
  </w:style>
  <w:style w:type="paragraph" w:styleId="10">
    <w:name w:val="footer"/>
    <w:basedOn w:val="1"/>
    <w:next w:val="9"/>
    <w:qFormat/>
    <w:uiPriority w:val="0"/>
    <w:pPr>
      <w:tabs>
        <w:tab w:val="center" w:pos="4153"/>
        <w:tab w:val="right" w:pos="8306"/>
      </w:tabs>
      <w:snapToGrid w:val="0"/>
      <w:jc w:val="left"/>
    </w:pPr>
    <w:rPr>
      <w:sz w:val="18"/>
    </w:rPr>
  </w:style>
  <w:style w:type="paragraph" w:styleId="11">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2">
    <w:name w:val="footnote text"/>
    <w:basedOn w:val="1"/>
    <w:next w:val="11"/>
    <w:unhideWhenUsed/>
    <w:qFormat/>
    <w:uiPriority w:val="0"/>
    <w:pPr>
      <w:snapToGrid w:val="0"/>
      <w:jc w:val="left"/>
    </w:pPr>
  </w:style>
  <w:style w:type="paragraph" w:styleId="13">
    <w:name w:val="index 9"/>
    <w:basedOn w:val="1"/>
    <w:next w:val="1"/>
    <w:qFormat/>
    <w:uiPriority w:val="0"/>
    <w:pPr>
      <w:ind w:left="3360"/>
    </w:p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Hyperlink"/>
    <w:basedOn w:val="16"/>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7</Pages>
  <Words>3252</Words>
  <Characters>3262</Characters>
  <Lines>0</Lines>
  <Paragraphs>0</Paragraphs>
  <TotalTime>0</TotalTime>
  <ScaleCrop>false</ScaleCrop>
  <LinksUpToDate>false</LinksUpToDate>
  <CharactersWithSpaces>3264</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2024-07-10T07:05:00Z</dcterms:created>
  <dc:creator>lenovo</dc:creator>
  <cp:lastModifiedBy>1810</cp:lastModifiedBy>
  <cp:lastPrinted>2025-07-17T04:06:00Z</cp:lastPrinted>
  <dcterms:modified xsi:type="dcterms:W3CDTF">2025-08-05T02:34:59Z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22916E41A1F74ADBA7B8D06593851182_13</vt:lpwstr>
  </property>
  <property fmtid="{D5CDD505-2E9C-101B-9397-08002B2CF9AE}" pid="4" name="KSOTemplateDocerSaveRecord">
    <vt:lpwstr>eyJoZGlkIjoiNjI5MGQ3MzMzYzcyMzgxZDgwZmZhMGY0ZGI4YmQyNGMiLCJ1c2VySWQiOiI0MzQ1NTY4MzQifQ==</vt:lpwstr>
  </property>
</Properties>
</file>