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233E5">
      <w:pPr>
        <w:pageBreakBefore w:val="0"/>
        <w:widowControl w:val="0"/>
        <w:kinsoku/>
        <w:overflowPunct/>
        <w:topLinePunct w:val="0"/>
        <w:autoSpaceDE/>
        <w:autoSpaceDN/>
        <w:bidi w:val="0"/>
        <w:adjustRightInd/>
        <w:snapToGrid/>
        <w:spacing w:line="560" w:lineRule="exact"/>
        <w:textAlignment w:val="auto"/>
        <w:rPr>
          <w:rFonts w:ascii="黑体" w:hAnsi="黑体" w:eastAsia="黑体" w:cs="黑体"/>
          <w:color w:val="auto"/>
          <w:szCs w:val="32"/>
        </w:rPr>
      </w:pPr>
      <w:r>
        <w:rPr>
          <w:rFonts w:hint="eastAsia" w:ascii="黑体" w:hAnsi="黑体" w:eastAsia="黑体" w:cs="黑体"/>
          <w:color w:val="auto"/>
          <w:szCs w:val="32"/>
        </w:rPr>
        <w:t>附件</w:t>
      </w:r>
      <w:r>
        <w:rPr>
          <w:rFonts w:ascii="黑体" w:hAnsi="黑体" w:eastAsia="黑体" w:cs="黑体"/>
          <w:color w:val="auto"/>
          <w:szCs w:val="32"/>
        </w:rPr>
        <w:t>1</w:t>
      </w:r>
    </w:p>
    <w:p w14:paraId="0758D613">
      <w:pPr>
        <w:pageBreakBefore w:val="0"/>
        <w:widowControl w:val="0"/>
        <w:kinsoku/>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color w:val="auto"/>
          <w:sz w:val="44"/>
          <w:szCs w:val="44"/>
        </w:rPr>
      </w:pPr>
    </w:p>
    <w:p w14:paraId="7E45DB79">
      <w:pPr>
        <w:pageBreakBefore w:val="0"/>
        <w:widowControl w:val="0"/>
        <w:kinsoku/>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color w:val="auto"/>
          <w:sz w:val="44"/>
          <w:szCs w:val="44"/>
        </w:rPr>
      </w:pPr>
      <w:r>
        <w:rPr>
          <w:rFonts w:ascii="Times New Roman" w:hAnsi="Times New Roman" w:eastAsia="方正小标宋简体" w:cs="Times New Roman"/>
          <w:color w:val="auto"/>
          <w:sz w:val="44"/>
          <w:szCs w:val="44"/>
        </w:rPr>
        <w:t>山东省博士（后）生活补助申报指南</w:t>
      </w:r>
    </w:p>
    <w:p w14:paraId="1913122C">
      <w:pPr>
        <w:pageBreakBefore w:val="0"/>
        <w:widowControl w:val="0"/>
        <w:kinsoku/>
        <w:overflowPunct/>
        <w:topLinePunct w:val="0"/>
        <w:autoSpaceDE/>
        <w:autoSpaceDN/>
        <w:bidi w:val="0"/>
        <w:adjustRightInd/>
        <w:snapToGrid/>
        <w:spacing w:line="560" w:lineRule="exact"/>
        <w:textAlignment w:val="auto"/>
        <w:rPr>
          <w:rFonts w:ascii="Times New Roman" w:hAnsi="Times New Roman" w:eastAsia="仿宋_GB2312" w:cs="Times New Roman"/>
          <w:color w:val="auto"/>
        </w:rPr>
      </w:pPr>
    </w:p>
    <w:p w14:paraId="231F790A">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黑体" w:cs="Times New Roman"/>
          <w:color w:val="auto"/>
        </w:rPr>
      </w:pPr>
      <w:r>
        <w:rPr>
          <w:rFonts w:ascii="Times New Roman" w:hAnsi="Times New Roman" w:eastAsia="黑体" w:cs="Times New Roman"/>
          <w:color w:val="auto"/>
        </w:rPr>
        <w:t>一、生活补助项目标准条件</w:t>
      </w:r>
    </w:p>
    <w:p w14:paraId="7BB3733E">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楷体_GB2312" w:cs="Times New Roman"/>
          <w:color w:val="auto"/>
        </w:rPr>
      </w:pPr>
      <w:r>
        <w:rPr>
          <w:rFonts w:ascii="Times New Roman" w:hAnsi="Times New Roman" w:eastAsia="楷体_GB2312" w:cs="Times New Roman"/>
          <w:color w:val="auto"/>
        </w:rPr>
        <w:t>（一）博士生活补助</w:t>
      </w:r>
    </w:p>
    <w:p w14:paraId="6CA7DB91">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自2019年7月1日起，对到我省的符合条件的博士，每人每年可享受5万元生活补助，工作每满1年发放1次，连续发放3年（视同省政府奖励）。具体补助条件：</w:t>
      </w:r>
    </w:p>
    <w:p w14:paraId="312CF43F">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1.遵守宪法和法律，具有良好的品行和职业道德。</w:t>
      </w:r>
    </w:p>
    <w:p w14:paraId="5DB7F1EC">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2.以博士身份与符合发放范围的用人单位签订3年及以上期限的劳动</w:t>
      </w:r>
      <w:r>
        <w:rPr>
          <w:rFonts w:hint="eastAsia" w:ascii="Times New Roman" w:hAnsi="Times New Roman" w:eastAsia="仿宋_GB2312" w:cs="Times New Roman"/>
          <w:color w:val="auto"/>
          <w:lang w:eastAsia="zh-CN"/>
        </w:rPr>
        <w:t>（</w:t>
      </w:r>
      <w:r>
        <w:rPr>
          <w:rFonts w:ascii="Times New Roman" w:hAnsi="Times New Roman" w:eastAsia="仿宋_GB2312" w:cs="Times New Roman"/>
          <w:color w:val="auto"/>
        </w:rPr>
        <w:t>聘用</w:t>
      </w:r>
      <w:r>
        <w:rPr>
          <w:rFonts w:hint="eastAsia" w:ascii="Times New Roman" w:hAnsi="Times New Roman" w:eastAsia="仿宋_GB2312" w:cs="Times New Roman"/>
          <w:color w:val="auto"/>
          <w:lang w:eastAsia="zh-CN"/>
        </w:rPr>
        <w:t>）</w:t>
      </w:r>
      <w:r>
        <w:rPr>
          <w:rFonts w:ascii="Times New Roman" w:hAnsi="Times New Roman" w:eastAsia="仿宋_GB2312" w:cs="Times New Roman"/>
          <w:color w:val="auto"/>
        </w:rPr>
        <w:t>合同，人事档案已转入用人单位人事管理范围，且签订合同时年龄在35岁及以下（不到36岁生日）。</w:t>
      </w:r>
    </w:p>
    <w:p w14:paraId="343BCF1C">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3.已全职在岗工作满1年</w:t>
      </w:r>
      <w:r>
        <w:rPr>
          <w:rFonts w:hint="eastAsia" w:ascii="Times New Roman" w:hAnsi="Times New Roman" w:eastAsia="仿宋_GB2312" w:cs="Times New Roman"/>
          <w:color w:val="auto"/>
          <w:lang w:eastAsia="zh-CN"/>
        </w:rPr>
        <w:t>（</w:t>
      </w:r>
      <w:r>
        <w:rPr>
          <w:rFonts w:ascii="Times New Roman" w:hAnsi="Times New Roman" w:eastAsia="仿宋_GB2312" w:cs="Times New Roman"/>
          <w:color w:val="auto"/>
        </w:rPr>
        <w:t>自签订合同至2025年12月31日</w:t>
      </w:r>
      <w:r>
        <w:rPr>
          <w:rFonts w:hint="eastAsia" w:ascii="Times New Roman" w:hAnsi="Times New Roman" w:eastAsia="仿宋_GB2312" w:cs="Times New Roman"/>
          <w:color w:val="auto"/>
          <w:lang w:eastAsia="zh-CN"/>
        </w:rPr>
        <w:t>）</w:t>
      </w:r>
      <w:r>
        <w:rPr>
          <w:rFonts w:ascii="Times New Roman" w:hAnsi="Times New Roman" w:eastAsia="仿宋_GB2312" w:cs="Times New Roman"/>
          <w:color w:val="auto"/>
        </w:rPr>
        <w:t>，</w:t>
      </w:r>
      <w:bookmarkStart w:id="0" w:name="_Hlk114513101"/>
      <w:r>
        <w:rPr>
          <w:rFonts w:ascii="Times New Roman" w:hAnsi="Times New Roman" w:eastAsia="仿宋_GB2312" w:cs="Times New Roman"/>
          <w:color w:val="auto"/>
        </w:rPr>
        <w:t>且已通过所在用人单位在山东省内缴纳社会保险。</w:t>
      </w:r>
    </w:p>
    <w:bookmarkEnd w:id="0"/>
    <w:p w14:paraId="01F77229">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除具备上述全部基本条件外，还应同时具备下列条件之一：</w:t>
      </w:r>
    </w:p>
    <w:p w14:paraId="531CD79C">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1.近三年（以用人单位签订合同时间为节点的前3个年度；如签订合同时当年度名单已公布的，含当年度）国际公认的三大世界大学排名体系中排在前200名高校、全球自然指数排在前100名的高校与科研院所（名单参考：“泰晤士高等教育THE”“QS”“U.S.News”世界大学排名、Nature Index自然指数机构排名，符合任一年度、任一名单即可）的博士毕业生。</w:t>
      </w:r>
    </w:p>
    <w:p w14:paraId="76D40782">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2.曾任国际公认的三大世界大学排名体系中排在前200名高校、全球自然指数排在前100名的高校与科研院所正式教学、科研职位（包括且不限于担任助理教授及以上职务、博士后等）。</w:t>
      </w:r>
    </w:p>
    <w:p w14:paraId="2F0300F1">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限项要求：博士生活补助与博士后研究人员在站生活补助不能同时享受，已申请或已纳入博士后研究人员在站生活补助范围、未满补助年限的，暂不列入申报范围；与博士后出站留（来）鲁一次性生活补助，或其他省级人才类生活补助，按照就高享受原则，不重复享受。</w:t>
      </w:r>
    </w:p>
    <w:p w14:paraId="30844C16">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楷体_GB2312" w:cs="Times New Roman"/>
          <w:color w:val="auto"/>
        </w:rPr>
      </w:pPr>
      <w:r>
        <w:rPr>
          <w:rFonts w:ascii="Times New Roman" w:hAnsi="Times New Roman" w:eastAsia="楷体_GB2312" w:cs="Times New Roman"/>
          <w:color w:val="auto"/>
        </w:rPr>
        <w:t>（二）博士后研究人员在站生活补助</w:t>
      </w:r>
    </w:p>
    <w:p w14:paraId="32668536">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自2020年2月24日起，对到我省博士后科研工作站开展研究的博士后研究人员，符合条件的在站期间可享受每人每年5万元生活补助，在站时间每满1年发放1次，最长补助3年，总额不超过15万元。具体补助条件：</w:t>
      </w:r>
    </w:p>
    <w:p w14:paraId="4289DE84">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1.进入（以中国博士后网上办公系统进站时间为准）符合发放范围的博士后科研工作站（含分站）、乡村博士后创新实践基地（设基地单位营业执照或法人证书登记住所位于乡镇及以下区域）进行博士后研究工作，已办理完成进站手续且截至2025年12月31日在站时间满1年。</w:t>
      </w:r>
    </w:p>
    <w:p w14:paraId="6EEEF955">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2.国内“双一流”建设高校（以与用人单位签订合同时间为节点，2022年2月9日前以教研函〔2017〕2号公布的“双一流”建设高校名单为准，2022年2月9日（含）以后以教研函〔2022〕1号</w:t>
      </w:r>
      <w:bookmarkStart w:id="1" w:name="_Hlk114407817"/>
      <w:r>
        <w:rPr>
          <w:rFonts w:ascii="Times New Roman" w:hAnsi="Times New Roman" w:eastAsia="仿宋_GB2312" w:cs="Times New Roman"/>
          <w:color w:val="auto"/>
        </w:rPr>
        <w:t>公布的“双一流”建设高校名单为准</w:t>
      </w:r>
      <w:bookmarkEnd w:id="1"/>
      <w:r>
        <w:rPr>
          <w:rFonts w:ascii="Times New Roman" w:hAnsi="Times New Roman" w:eastAsia="仿宋_GB2312" w:cs="Times New Roman"/>
          <w:color w:val="auto"/>
        </w:rPr>
        <w:t>）或近三年（以申报人进站时间为节点的前3个年度；如进站时当年度名单已公布的，含当年度）国际公认的三大世界大学排名体系中排在前200名高校的博士毕业生（名单参考：“泰晤士高等教育THE”“QS”“U.S.News”世界大学排名，符合任一年度、任一名单即可），进站身份可不受限制，进站后全脱产从事博士后研究工作；或为国内首次入站，进站身份为非定向就业博士毕业生或无人事（劳动）关系的人员，博士毕业院校不受限制，进站后全脱产从事博士后研究工作。</w:t>
      </w:r>
    </w:p>
    <w:p w14:paraId="0D957DAC">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3.在站期间正常开展博士后研究工作，完成年度工作任务。</w:t>
      </w:r>
    </w:p>
    <w:p w14:paraId="7E04B49F">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下列博士后研究人员不列入补助范围：（1）进入本单位博士后科研工作站（含分站）的；（2）省内用人单位员工辞职6个月内又以“无人事（劳动）关系的人员”身份进入原用人单位博士后科研工作站（含分站）从事博士后研究工作的；（3）对国内首次入站，进站身份为非定向就业博士毕业生或无人事（劳动）关系的人员，在站期间进站身份变更为“在职人员”，不再符合补助条件的；（4）在“博士后国际交流计划”“香江学者计划”等博士后派出项目派出期间的；（5）已纳入“省博士后创新人才支持计划”资助的；（6）出现其他不再符合补助条件情形的。</w:t>
      </w:r>
    </w:p>
    <w:p w14:paraId="24AB044A">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对到省内乡村博士后科研工作站或创新实践基地（设站单位营业执照或法人证书登记住所位于乡镇及以下区域）开展博士后研究工作的，取消进站身份限制给予补助。</w:t>
      </w:r>
    </w:p>
    <w:p w14:paraId="2FADC28F">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限项要求：博士后研究人员在站生活补助与博士生活补助不能同时享受，已申请或已纳入博士生活补助范围、未满补助年限的，暂不列入申报范围；已享受其他省级人才类生活补助的人员，按照就高享受原则，不得重复享受。</w:t>
      </w:r>
    </w:p>
    <w:p w14:paraId="139A211A">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楷体_GB2312" w:cs="Times New Roman"/>
          <w:color w:val="auto"/>
        </w:rPr>
      </w:pPr>
      <w:r>
        <w:rPr>
          <w:rFonts w:ascii="Times New Roman" w:hAnsi="Times New Roman" w:eastAsia="楷体_GB2312" w:cs="Times New Roman"/>
          <w:color w:val="auto"/>
        </w:rPr>
        <w:t>（三）博士后出站留（来）鲁一次性生活补助</w:t>
      </w:r>
    </w:p>
    <w:p w14:paraId="15AD9456">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自2020年2月24日起，对符合出站后留（来）鲁工作条件的博士后，可享受每人15万元一次性生活补助（视同省政府奖励）。具体补助条件：</w:t>
      </w:r>
    </w:p>
    <w:p w14:paraId="7DFFF95E">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1.国内“双一流”建设高校（以用人单位签订合同时间为节点，2022年2月9日前以教研函〔2017〕2号公布的“双一流”建设高校名单为准，2022年2月9日（含）以后以教研函〔2022〕1号公布的“双一流”建设高校名单为准）或近三年（以进站时间为节点的前3个年度；如进站时当年度名单已公布的，含当年度）国际公认的三大世界大学排名体系中排在前200名高校、全球自然指数排名在前100名的高校与科研院所（名单参考：“泰晤士高等教育THE”“QS”“U.S.News”世界大学排名、Nature Index自然指数机构排名，符合任一年度、任一名单即可）的博士毕业生。</w:t>
      </w:r>
    </w:p>
    <w:p w14:paraId="50CAD0F7">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2.自省内外博士后科研流动站、科研工作站（含分站）正常出站，申请时已办理完成期满出站手续。</w:t>
      </w:r>
    </w:p>
    <w:p w14:paraId="2692EB83">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3.期满出站（以中国博士后网上办公系统出站时间为准）后12个月内与符合发放范围的用人单位签订3年及以上期限劳动（聘用）合同，人事档案已转入单位人事管理范围，申请时已全职在岗工作且已通过所在用人单位在山东省内缴纳社会保险。</w:t>
      </w:r>
    </w:p>
    <w:p w14:paraId="50350AC9">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限项要求：入站前已在鲁工作的在职博士后研究人员、已申请或已纳入博士生活补助的人员不列入补助范围；已享受其他省级人才类生活补助的人员，按照就高享受原则，不得重复享受。</w:t>
      </w:r>
    </w:p>
    <w:p w14:paraId="59479A0B">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黑体" w:cs="Times New Roman"/>
          <w:color w:val="auto"/>
        </w:rPr>
      </w:pPr>
      <w:r>
        <w:rPr>
          <w:rFonts w:ascii="Times New Roman" w:hAnsi="Times New Roman" w:eastAsia="黑体" w:cs="Times New Roman"/>
          <w:color w:val="auto"/>
        </w:rPr>
        <w:t>二、发放工作流程</w:t>
      </w:r>
    </w:p>
    <w:p w14:paraId="3D9DD990">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推行“政策找人”和“自主认证”工作机制，依托山东省青年人才和博士后综合管理信息平台</w:t>
      </w:r>
      <w:bookmarkStart w:id="2" w:name="_Hlk114410471"/>
      <w:r>
        <w:rPr>
          <w:rFonts w:ascii="Times New Roman" w:hAnsi="Times New Roman" w:eastAsia="仿宋_GB2312" w:cs="Times New Roman"/>
          <w:color w:val="auto"/>
        </w:rPr>
        <w:t>（</w:t>
      </w:r>
      <w:r>
        <w:rPr>
          <w:color w:val="auto"/>
        </w:rPr>
        <w:fldChar w:fldCharType="begin"/>
      </w:r>
      <w:r>
        <w:rPr>
          <w:rFonts w:ascii="Times New Roman" w:hAnsi="Times New Roman" w:cs="Times New Roman"/>
          <w:color w:val="auto"/>
        </w:rPr>
        <w:instrText xml:space="preserve"> HYPERLINK "https://sdbsh.rcsd.cn/login" </w:instrText>
      </w:r>
      <w:r>
        <w:rPr>
          <w:color w:val="auto"/>
        </w:rPr>
        <w:fldChar w:fldCharType="separate"/>
      </w:r>
      <w:r>
        <w:rPr>
          <w:rStyle w:val="18"/>
          <w:rFonts w:ascii="Times New Roman" w:hAnsi="Times New Roman" w:eastAsia="仿宋_GB2312" w:cs="Times New Roman"/>
          <w:color w:val="auto"/>
          <w:u w:val="none"/>
        </w:rPr>
        <w:t>https://sdbsh.rcsd.cn/login</w:t>
      </w:r>
      <w:r>
        <w:rPr>
          <w:rStyle w:val="18"/>
          <w:rFonts w:ascii="Times New Roman" w:hAnsi="Times New Roman" w:eastAsia="仿宋_GB2312" w:cs="Times New Roman"/>
          <w:color w:val="auto"/>
          <w:u w:val="none"/>
        </w:rPr>
        <w:fldChar w:fldCharType="end"/>
      </w:r>
      <w:r>
        <w:rPr>
          <w:rFonts w:ascii="Times New Roman" w:hAnsi="Times New Roman" w:eastAsia="仿宋_GB2312" w:cs="Times New Roman"/>
          <w:color w:val="auto"/>
        </w:rPr>
        <w:t>，以下简称“管理信息平台”）</w:t>
      </w:r>
      <w:bookmarkEnd w:id="2"/>
      <w:r>
        <w:rPr>
          <w:rFonts w:ascii="Times New Roman" w:hAnsi="Times New Roman" w:eastAsia="仿宋_GB2312" w:cs="Times New Roman"/>
          <w:color w:val="auto"/>
        </w:rPr>
        <w:t>组织为符合条件的人员兑现发放补助。</w:t>
      </w:r>
      <w:r>
        <w:rPr>
          <w:rFonts w:hint="eastAsia" w:ascii="Times New Roman" w:hAnsi="Times New Roman" w:eastAsia="仿宋_GB2312" w:cs="Times New Roman"/>
          <w:color w:val="auto"/>
        </w:rPr>
        <w:t>所</w:t>
      </w:r>
      <w:r>
        <w:rPr>
          <w:rFonts w:ascii="Times New Roman" w:hAnsi="Times New Roman" w:eastAsia="仿宋_GB2312" w:cs="Times New Roman"/>
          <w:color w:val="auto"/>
        </w:rPr>
        <w:t>涉及的</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账号由省人力资源社会保障厅直接分配，通过前期提供的用户名登录；涉及的用人单位账号未开通的，用人单位账号需通过山东省统一身份认证平台（https://zwfw.sd.gov.cn/JIS/front/login.do?uuid=mlFnKsHN3En0&amp;gotourl=&amp;type=2）注册并维护单位基本信息。</w:t>
      </w:r>
    </w:p>
    <w:p w14:paraId="37F2B0E0">
      <w:pPr>
        <w:pageBreakBefore w:val="0"/>
        <w:widowControl w:val="0"/>
        <w:numPr>
          <w:ilvl w:val="0"/>
          <w:numId w:val="7"/>
        </w:numPr>
        <w:kinsoku/>
        <w:overflowPunct/>
        <w:topLinePunct w:val="0"/>
        <w:autoSpaceDE/>
        <w:autoSpaceDN/>
        <w:bidi w:val="0"/>
        <w:adjustRightInd/>
        <w:snapToGrid/>
        <w:spacing w:line="560" w:lineRule="exact"/>
        <w:ind w:firstLine="632" w:firstLineChars="200"/>
        <w:textAlignment w:val="auto"/>
        <w:rPr>
          <w:rFonts w:ascii="Times New Roman" w:hAnsi="Times New Roman" w:eastAsia="楷体_GB2312" w:cs="Times New Roman"/>
          <w:color w:val="auto"/>
        </w:rPr>
      </w:pPr>
      <w:r>
        <w:rPr>
          <w:rFonts w:ascii="Times New Roman" w:hAnsi="Times New Roman" w:eastAsia="楷体_GB2312" w:cs="Times New Roman"/>
          <w:color w:val="auto"/>
        </w:rPr>
        <w:t>“政策找人”发放流程</w:t>
      </w:r>
    </w:p>
    <w:p w14:paraId="5DFC2BB1">
      <w:pPr>
        <w:pStyle w:val="2"/>
        <w:pageBreakBefore w:val="0"/>
        <w:widowControl w:val="0"/>
        <w:numPr>
          <w:ilvl w:val="255"/>
          <w:numId w:val="0"/>
        </w:numPr>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hint="eastAsia" w:ascii="Times New Roman" w:hAnsi="Times New Roman" w:eastAsia="仿宋_GB2312" w:cs="Times New Roman"/>
          <w:color w:val="auto"/>
        </w:rPr>
        <w:t>博士后研究人员在站生活补助、已享受博士生活补助且未满补助年限的主要采取“政策找人”机制发放，</w:t>
      </w:r>
      <w:r>
        <w:rPr>
          <w:rFonts w:ascii="Times New Roman" w:hAnsi="Times New Roman" w:eastAsia="仿宋_GB2312" w:cs="Times New Roman"/>
          <w:color w:val="auto"/>
        </w:rPr>
        <w:t>具体流程如下：</w:t>
      </w:r>
    </w:p>
    <w:p w14:paraId="686D4B5B">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1.省人力资源社会保障厅根据资助条件分类筛选初步符合条件的</w:t>
      </w:r>
      <w:r>
        <w:rPr>
          <w:rFonts w:hint="eastAsia" w:ascii="Times New Roman" w:hAnsi="Times New Roman" w:eastAsia="仿宋_GB2312" w:cs="Times New Roman"/>
          <w:color w:val="auto"/>
        </w:rPr>
        <w:t>人员名单，</w:t>
      </w:r>
      <w:r>
        <w:rPr>
          <w:rFonts w:ascii="Times New Roman" w:hAnsi="Times New Roman" w:eastAsia="仿宋_GB2312" w:cs="Times New Roman"/>
          <w:color w:val="auto"/>
        </w:rPr>
        <w:t>按照</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设站单位或用人单位的隶属关系，由市、县（市、区）人力资源社会保障局</w:t>
      </w:r>
      <w:r>
        <w:rPr>
          <w:rFonts w:hint="eastAsia" w:ascii="Times New Roman" w:hAnsi="Times New Roman" w:eastAsia="仿宋_GB2312" w:cs="Times New Roman"/>
          <w:color w:val="auto"/>
        </w:rPr>
        <w:t>逐级核实</w:t>
      </w:r>
      <w:r>
        <w:rPr>
          <w:rFonts w:ascii="Times New Roman" w:hAnsi="Times New Roman" w:eastAsia="仿宋_GB2312" w:cs="Times New Roman"/>
          <w:color w:val="auto"/>
        </w:rPr>
        <w:t>后推送到</w:t>
      </w:r>
      <w:r>
        <w:rPr>
          <w:rFonts w:hint="eastAsia" w:ascii="Times New Roman" w:hAnsi="Times New Roman" w:eastAsia="仿宋_GB2312" w:cs="Times New Roman"/>
          <w:color w:val="auto"/>
        </w:rPr>
        <w:t>有关单位</w:t>
      </w:r>
      <w:r>
        <w:rPr>
          <w:rFonts w:ascii="Times New Roman" w:hAnsi="Times New Roman" w:eastAsia="仿宋_GB2312" w:cs="Times New Roman"/>
          <w:color w:val="auto"/>
        </w:rPr>
        <w:t>后台系统。</w:t>
      </w:r>
    </w:p>
    <w:p w14:paraId="1AA02961">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2.对管理信息平台分类推送的人员详细信息，</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设站单位或用人单位应及时做好以下工作：</w:t>
      </w:r>
      <w:r>
        <w:rPr>
          <w:rFonts w:hint="eastAsia" w:ascii="Times New Roman" w:hAnsi="Times New Roman" w:eastAsia="仿宋_GB2312" w:cs="Times New Roman"/>
          <w:b w:val="0"/>
          <w:bCs w:val="0"/>
          <w:color w:val="auto"/>
        </w:rPr>
        <w:t>（</w:t>
      </w:r>
      <w:r>
        <w:rPr>
          <w:rFonts w:ascii="Times New Roman" w:hAnsi="Times New Roman" w:eastAsia="仿宋_GB2312" w:cs="Times New Roman"/>
          <w:b w:val="0"/>
          <w:bCs w:val="0"/>
          <w:color w:val="auto"/>
        </w:rPr>
        <w:t>1</w:t>
      </w:r>
      <w:r>
        <w:rPr>
          <w:rFonts w:hint="eastAsia" w:ascii="Times New Roman" w:hAnsi="Times New Roman" w:eastAsia="仿宋_GB2312" w:cs="Times New Roman"/>
          <w:b w:val="0"/>
          <w:bCs w:val="0"/>
          <w:color w:val="auto"/>
        </w:rPr>
        <w:t>）</w:t>
      </w:r>
      <w:r>
        <w:rPr>
          <w:rFonts w:hint="eastAsia" w:ascii="Times New Roman" w:hAnsi="Times New Roman" w:eastAsia="仿宋_GB2312" w:cs="Times New Roman"/>
          <w:color w:val="auto"/>
        </w:rPr>
        <w:t>对推送的初步符合条件的人员信息进行审核确认</w:t>
      </w:r>
      <w:r>
        <w:rPr>
          <w:rFonts w:ascii="Times New Roman" w:hAnsi="Times New Roman" w:eastAsia="仿宋_GB2312" w:cs="Times New Roman"/>
          <w:color w:val="auto"/>
        </w:rPr>
        <w:t>，</w:t>
      </w:r>
      <w:r>
        <w:rPr>
          <w:rFonts w:hint="eastAsia" w:ascii="Times New Roman" w:hAnsi="Times New Roman" w:eastAsia="仿宋_GB2312" w:cs="Times New Roman"/>
          <w:color w:val="auto"/>
        </w:rPr>
        <w:t>对</w:t>
      </w:r>
      <w:r>
        <w:rPr>
          <w:rFonts w:ascii="Times New Roman" w:hAnsi="Times New Roman" w:eastAsia="仿宋_GB2312" w:cs="Times New Roman"/>
          <w:color w:val="auto"/>
        </w:rPr>
        <w:t>人员</w:t>
      </w:r>
      <w:r>
        <w:rPr>
          <w:rFonts w:hint="eastAsia" w:ascii="Times New Roman" w:hAnsi="Times New Roman" w:eastAsia="仿宋_GB2312" w:cs="Times New Roman"/>
          <w:color w:val="auto"/>
        </w:rPr>
        <w:t>是否</w:t>
      </w:r>
      <w:r>
        <w:rPr>
          <w:rFonts w:ascii="Times New Roman" w:hAnsi="Times New Roman" w:eastAsia="仿宋_GB2312" w:cs="Times New Roman"/>
          <w:color w:val="auto"/>
        </w:rPr>
        <w:t>真正在职在岗</w:t>
      </w:r>
      <w:r>
        <w:rPr>
          <w:rFonts w:hint="eastAsia" w:ascii="Times New Roman" w:hAnsi="Times New Roman" w:eastAsia="仿宋_GB2312" w:cs="Times New Roman"/>
          <w:color w:val="auto"/>
        </w:rPr>
        <w:t>、</w:t>
      </w:r>
      <w:r>
        <w:rPr>
          <w:rFonts w:ascii="Times New Roman" w:hAnsi="Times New Roman" w:eastAsia="仿宋_GB2312" w:cs="Times New Roman"/>
          <w:color w:val="auto"/>
        </w:rPr>
        <w:t>劳动（人事）关系</w:t>
      </w:r>
      <w:r>
        <w:rPr>
          <w:rFonts w:hint="eastAsia" w:ascii="Times New Roman" w:hAnsi="Times New Roman" w:eastAsia="仿宋_GB2312" w:cs="Times New Roman"/>
          <w:color w:val="auto"/>
        </w:rPr>
        <w:t>是否</w:t>
      </w:r>
      <w:r>
        <w:rPr>
          <w:rFonts w:ascii="Times New Roman" w:hAnsi="Times New Roman" w:eastAsia="仿宋_GB2312" w:cs="Times New Roman"/>
          <w:color w:val="auto"/>
        </w:rPr>
        <w:t>隶属本单位管理</w:t>
      </w:r>
      <w:r>
        <w:rPr>
          <w:rFonts w:hint="eastAsia" w:ascii="Times New Roman" w:hAnsi="Times New Roman" w:eastAsia="仿宋_GB2312" w:cs="Times New Roman"/>
          <w:color w:val="auto"/>
        </w:rPr>
        <w:t>、</w:t>
      </w:r>
      <w:r>
        <w:rPr>
          <w:rFonts w:ascii="Times New Roman" w:hAnsi="Times New Roman" w:eastAsia="仿宋_GB2312" w:cs="Times New Roman"/>
          <w:color w:val="auto"/>
        </w:rPr>
        <w:t>是否存在“不列入补助范围”的情形</w:t>
      </w:r>
      <w:r>
        <w:rPr>
          <w:rFonts w:hint="eastAsia" w:ascii="Times New Roman" w:hAnsi="Times New Roman" w:eastAsia="仿宋_GB2312" w:cs="Times New Roman"/>
          <w:color w:val="auto"/>
        </w:rPr>
        <w:t>等信息，出具审核意见。</w:t>
      </w:r>
      <w:r>
        <w:rPr>
          <w:rFonts w:hint="eastAsia" w:ascii="Times New Roman" w:hAnsi="Times New Roman" w:eastAsia="仿宋_GB2312" w:cs="Times New Roman"/>
          <w:b w:val="0"/>
          <w:bCs w:val="0"/>
          <w:color w:val="auto"/>
        </w:rPr>
        <w:t>（</w:t>
      </w:r>
      <w:r>
        <w:rPr>
          <w:rFonts w:ascii="Times New Roman" w:hAnsi="Times New Roman" w:eastAsia="仿宋_GB2312" w:cs="Times New Roman"/>
          <w:color w:val="auto"/>
        </w:rPr>
        <w:t>2</w:t>
      </w:r>
      <w:r>
        <w:rPr>
          <w:rFonts w:hint="eastAsia" w:ascii="Times New Roman" w:hAnsi="Times New Roman" w:eastAsia="仿宋_GB2312" w:cs="Times New Roman"/>
          <w:b w:val="0"/>
          <w:bCs w:val="0"/>
          <w:color w:val="auto"/>
        </w:rPr>
        <w:t>）</w:t>
      </w:r>
      <w:r>
        <w:rPr>
          <w:rFonts w:ascii="Times New Roman" w:hAnsi="Times New Roman" w:eastAsia="仿宋_GB2312" w:cs="Times New Roman"/>
          <w:color w:val="auto"/>
        </w:rPr>
        <w:t>对符合补助条件的人员须在单位内部进行公示，公示期为5个工作日</w:t>
      </w:r>
      <w:bookmarkStart w:id="3" w:name="_Hlk114411473"/>
      <w:r>
        <w:rPr>
          <w:rFonts w:ascii="Times New Roman" w:hAnsi="Times New Roman" w:eastAsia="仿宋_GB2312" w:cs="Times New Roman"/>
          <w:color w:val="auto"/>
        </w:rPr>
        <w:t>（不含周末及法定假期）</w:t>
      </w:r>
      <w:bookmarkEnd w:id="3"/>
      <w:r>
        <w:rPr>
          <w:rFonts w:ascii="Times New Roman" w:hAnsi="Times New Roman" w:eastAsia="仿宋_GB2312" w:cs="Times New Roman"/>
          <w:color w:val="auto"/>
        </w:rPr>
        <w:t>。公示无异议的，按要求反馈提交至所属县（</w:t>
      </w:r>
      <w:r>
        <w:rPr>
          <w:rFonts w:hint="eastAsia" w:ascii="Times New Roman" w:hAnsi="Times New Roman" w:eastAsia="仿宋_GB2312" w:cs="Times New Roman"/>
          <w:color w:val="auto"/>
          <w:lang w:eastAsia="zh-CN"/>
        </w:rPr>
        <w:t>市</w:t>
      </w:r>
      <w:r>
        <w:rPr>
          <w:rFonts w:ascii="Times New Roman" w:hAnsi="Times New Roman" w:eastAsia="仿宋_GB2312" w:cs="Times New Roman"/>
          <w:color w:val="auto"/>
        </w:rPr>
        <w:t>、</w:t>
      </w:r>
      <w:r>
        <w:rPr>
          <w:rFonts w:hint="eastAsia" w:ascii="Times New Roman" w:hAnsi="Times New Roman" w:eastAsia="仿宋_GB2312" w:cs="Times New Roman"/>
          <w:color w:val="auto"/>
          <w:lang w:eastAsia="zh-CN"/>
        </w:rPr>
        <w:t>区</w:t>
      </w:r>
      <w:r>
        <w:rPr>
          <w:rFonts w:ascii="Times New Roman" w:hAnsi="Times New Roman" w:eastAsia="仿宋_GB2312" w:cs="Times New Roman"/>
          <w:color w:val="auto"/>
        </w:rPr>
        <w:t>）人力资源社会保障局。</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设站单位或用人单位完成人员信息核实确认和补充后，博士（后）人员无需自主认证或提交</w:t>
      </w:r>
      <w:r>
        <w:rPr>
          <w:rFonts w:hint="eastAsia" w:ascii="Times New Roman" w:hAnsi="Times New Roman" w:eastAsia="仿宋_GB2312" w:cs="Times New Roman"/>
          <w:color w:val="auto"/>
          <w:lang w:eastAsia="zh-CN"/>
        </w:rPr>
        <w:t>其他</w:t>
      </w:r>
      <w:r>
        <w:rPr>
          <w:rFonts w:ascii="Times New Roman" w:hAnsi="Times New Roman" w:eastAsia="仿宋_GB2312" w:cs="Times New Roman"/>
          <w:color w:val="auto"/>
        </w:rPr>
        <w:t>信息。</w:t>
      </w:r>
    </w:p>
    <w:p w14:paraId="153DA165">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3.</w:t>
      </w:r>
      <w:r>
        <w:rPr>
          <w:rFonts w:hint="eastAsia" w:ascii="Times New Roman" w:hAnsi="Times New Roman" w:eastAsia="仿宋_GB2312" w:cs="Times New Roman"/>
          <w:color w:val="auto"/>
        </w:rPr>
        <w:t>所在</w:t>
      </w:r>
      <w:r>
        <w:rPr>
          <w:rFonts w:ascii="Times New Roman" w:hAnsi="Times New Roman" w:eastAsia="仿宋_GB2312" w:cs="Times New Roman"/>
          <w:color w:val="auto"/>
        </w:rPr>
        <w:t>县（市、区）、市人力资源社会保障局逐级对人员信息进行核实确认，通过管理信息平台提交</w:t>
      </w:r>
      <w:bookmarkStart w:id="4" w:name="_Hlk114411553"/>
      <w:r>
        <w:rPr>
          <w:rFonts w:ascii="Times New Roman" w:hAnsi="Times New Roman" w:eastAsia="仿宋_GB2312" w:cs="Times New Roman"/>
          <w:color w:val="auto"/>
        </w:rPr>
        <w:t>至省人力资源社会保障厅（截至2025年9月30日</w:t>
      </w:r>
      <w:r>
        <w:rPr>
          <w:rFonts w:hint="eastAsia" w:ascii="Times New Roman" w:hAnsi="Times New Roman" w:eastAsia="仿宋_GB2312" w:cs="Times New Roman"/>
          <w:color w:val="auto"/>
          <w:lang w:val="en-US" w:eastAsia="zh-CN"/>
        </w:rPr>
        <w:t>17</w:t>
      </w:r>
      <w:r>
        <w:rPr>
          <w:rFonts w:hint="eastAsia" w:ascii="Times New Roman" w:hAnsi="Times New Roman" w:eastAsia="仿宋_GB2312" w:cs="Times New Roman"/>
          <w:color w:val="auto"/>
        </w:rPr>
        <w:t>点</w:t>
      </w:r>
      <w:r>
        <w:rPr>
          <w:rFonts w:ascii="Times New Roman" w:hAnsi="Times New Roman" w:eastAsia="仿宋_GB2312" w:cs="Times New Roman"/>
          <w:color w:val="auto"/>
        </w:rPr>
        <w:t>）</w:t>
      </w:r>
      <w:bookmarkEnd w:id="4"/>
      <w:r>
        <w:rPr>
          <w:rFonts w:ascii="Times New Roman" w:hAnsi="Times New Roman" w:eastAsia="仿宋_GB2312" w:cs="Times New Roman"/>
          <w:color w:val="auto"/>
        </w:rPr>
        <w:t>。逾期管理信息平台将自动关闭，不再受理。</w:t>
      </w:r>
    </w:p>
    <w:p w14:paraId="326131CD">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4.省人力资源社会保障厅形式审查后，组织</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设站单位或用人单位对拟补助人员名单进行公示，公示期为5个工作日（不含周末及法定假期）。公示无异议的，发文公布发放补助人员名单，</w:t>
      </w:r>
      <w:r>
        <w:rPr>
          <w:rFonts w:hint="eastAsia" w:ascii="Times New Roman" w:hAnsi="Times New Roman" w:eastAsia="仿宋_GB2312" w:cs="Times New Roman"/>
          <w:color w:val="auto"/>
        </w:rPr>
        <w:t>于2026年3月底前</w:t>
      </w:r>
      <w:r>
        <w:rPr>
          <w:rFonts w:ascii="Times New Roman" w:hAnsi="Times New Roman" w:eastAsia="仿宋_GB2312" w:cs="Times New Roman"/>
          <w:color w:val="auto"/>
        </w:rPr>
        <w:t>按规定将所负责的补助经费拨付人员所在单位，由所在单位及时发放给个人。</w:t>
      </w:r>
    </w:p>
    <w:p w14:paraId="22F71228">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楷体_GB2312" w:cs="Times New Roman"/>
          <w:color w:val="auto"/>
        </w:rPr>
      </w:pPr>
      <w:r>
        <w:rPr>
          <w:rFonts w:ascii="Times New Roman" w:hAnsi="Times New Roman" w:eastAsia="楷体_GB2312" w:cs="Times New Roman"/>
          <w:color w:val="auto"/>
        </w:rPr>
        <w:t>（二）“自主认证”发放流程</w:t>
      </w:r>
    </w:p>
    <w:p w14:paraId="24CDCD6A">
      <w:pPr>
        <w:pStyle w:val="2"/>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bookmarkStart w:id="5" w:name="OLE_LINK1"/>
      <w:r>
        <w:rPr>
          <w:rFonts w:hint="eastAsia" w:ascii="Times New Roman" w:hAnsi="Times New Roman" w:eastAsia="仿宋_GB2312" w:cs="Times New Roman"/>
          <w:color w:val="auto"/>
        </w:rPr>
        <w:t>未纳入“政策找人”名单的符合条件的博士（后），可采取</w:t>
      </w:r>
      <w:r>
        <w:rPr>
          <w:rFonts w:hint="eastAsia" w:ascii="Times New Roman" w:hAnsi="Times New Roman" w:eastAsia="仿宋_GB2312" w:cs="Times New Roman"/>
          <w:color w:val="auto"/>
          <w:lang w:eastAsia="zh-CN"/>
        </w:rPr>
        <w:t>个人申请、单位审核上报的</w:t>
      </w:r>
      <w:r>
        <w:rPr>
          <w:rFonts w:hint="eastAsia" w:ascii="Times New Roman" w:hAnsi="Times New Roman" w:eastAsia="仿宋_GB2312" w:cs="Times New Roman"/>
          <w:color w:val="auto"/>
        </w:rPr>
        <w:t>“自主认证”方式发放，</w:t>
      </w:r>
      <w:bookmarkEnd w:id="5"/>
      <w:r>
        <w:rPr>
          <w:rFonts w:ascii="Times New Roman" w:hAnsi="Times New Roman" w:eastAsia="仿宋_GB2312" w:cs="Times New Roman"/>
          <w:color w:val="auto"/>
        </w:rPr>
        <w:t>具体流程如下：</w:t>
      </w:r>
    </w:p>
    <w:p w14:paraId="47197690">
      <w:pPr>
        <w:pageBreakBefore w:val="0"/>
        <w:widowControl w:val="0"/>
        <w:kinsoku/>
        <w:wordWrap w:val="0"/>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1.符合条件的博士（后）人员通过管理信息平台对应选择申领的补助项目，按要求填写有关信息并上传有关佐证材料，按照劳动（人事）隶属关系向所在</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设站单位或用人单位提交认证材料。</w:t>
      </w:r>
    </w:p>
    <w:p w14:paraId="239D5DE9">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2.</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设站单位或用人单位应及时做好以下工作：</w:t>
      </w:r>
      <w:r>
        <w:rPr>
          <w:rFonts w:hint="eastAsia" w:ascii="Times New Roman" w:hAnsi="Times New Roman" w:eastAsia="仿宋_GB2312" w:cs="Times New Roman"/>
          <w:color w:val="auto"/>
        </w:rPr>
        <w:t>（1）</w:t>
      </w:r>
      <w:r>
        <w:rPr>
          <w:rFonts w:ascii="Times New Roman" w:hAnsi="Times New Roman" w:eastAsia="仿宋_GB2312" w:cs="Times New Roman"/>
          <w:color w:val="auto"/>
        </w:rPr>
        <w:t>对提交材料的真实性、准确性和有效性进行核验，就涉及的博士毕业学校、劳动（聘用）合同期限等与证书原件或档案信息进行比对，出具审核意见。</w:t>
      </w:r>
      <w:r>
        <w:rPr>
          <w:rFonts w:hint="eastAsia" w:ascii="Times New Roman" w:hAnsi="Times New Roman" w:eastAsia="仿宋_GB2312" w:cs="Times New Roman"/>
          <w:color w:val="auto"/>
        </w:rPr>
        <w:t>（2）</w:t>
      </w:r>
      <w:r>
        <w:rPr>
          <w:rFonts w:ascii="Times New Roman" w:hAnsi="Times New Roman" w:eastAsia="仿宋_GB2312" w:cs="Times New Roman"/>
          <w:color w:val="auto"/>
        </w:rPr>
        <w:t>对符合补助条件的人员须在单位内部进行公示，公示期为5个工作日（不含周末及法定假期）。公示无异议</w:t>
      </w:r>
      <w:r>
        <w:rPr>
          <w:rFonts w:hint="eastAsia" w:ascii="Times New Roman" w:hAnsi="Times New Roman" w:eastAsia="仿宋_GB2312" w:cs="Times New Roman"/>
          <w:color w:val="auto"/>
        </w:rPr>
        <w:t>的</w:t>
      </w:r>
      <w:r>
        <w:rPr>
          <w:rFonts w:ascii="Times New Roman" w:hAnsi="Times New Roman" w:eastAsia="仿宋_GB2312" w:cs="Times New Roman"/>
          <w:color w:val="auto"/>
        </w:rPr>
        <w:t>，按要求反馈提交至所属县（</w:t>
      </w:r>
      <w:r>
        <w:rPr>
          <w:rFonts w:hint="eastAsia" w:ascii="Times New Roman" w:hAnsi="Times New Roman" w:eastAsia="仿宋_GB2312" w:cs="Times New Roman"/>
          <w:color w:val="auto"/>
          <w:lang w:eastAsia="zh-CN"/>
        </w:rPr>
        <w:t>市</w:t>
      </w:r>
      <w:r>
        <w:rPr>
          <w:rFonts w:ascii="Times New Roman" w:hAnsi="Times New Roman" w:eastAsia="仿宋_GB2312" w:cs="Times New Roman"/>
          <w:color w:val="auto"/>
        </w:rPr>
        <w:t>、</w:t>
      </w:r>
      <w:r>
        <w:rPr>
          <w:rFonts w:hint="eastAsia" w:ascii="Times New Roman" w:hAnsi="Times New Roman" w:eastAsia="仿宋_GB2312" w:cs="Times New Roman"/>
          <w:color w:val="auto"/>
          <w:lang w:eastAsia="zh-CN"/>
        </w:rPr>
        <w:t>区</w:t>
      </w:r>
      <w:r>
        <w:rPr>
          <w:rFonts w:ascii="Times New Roman" w:hAnsi="Times New Roman" w:eastAsia="仿宋_GB2312" w:cs="Times New Roman"/>
          <w:color w:val="auto"/>
        </w:rPr>
        <w:t>）人力资源社会保障局。</w:t>
      </w:r>
    </w:p>
    <w:p w14:paraId="6B91F0C9">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3.所在县（市、区）、市人力资源社会保障局，根据资助条件和要求进行复核，通过管理信息平台提交至省人力资源社会保障厅（截至2025年9月30日</w:t>
      </w:r>
      <w:r>
        <w:rPr>
          <w:rFonts w:hint="eastAsia" w:ascii="Times New Roman" w:hAnsi="Times New Roman" w:eastAsia="仿宋_GB2312" w:cs="Times New Roman"/>
          <w:color w:val="auto"/>
          <w:lang w:val="en-US" w:eastAsia="zh-CN"/>
        </w:rPr>
        <w:t>17</w:t>
      </w:r>
      <w:r>
        <w:rPr>
          <w:rFonts w:hint="eastAsia" w:ascii="Times New Roman" w:hAnsi="Times New Roman" w:eastAsia="仿宋_GB2312" w:cs="Times New Roman"/>
          <w:color w:val="auto"/>
        </w:rPr>
        <w:t>点</w:t>
      </w:r>
      <w:r>
        <w:rPr>
          <w:rFonts w:ascii="Times New Roman" w:hAnsi="Times New Roman" w:eastAsia="仿宋_GB2312" w:cs="Times New Roman"/>
          <w:color w:val="auto"/>
        </w:rPr>
        <w:t>）。逾期管理信息平台将自动关闭，不再受理。</w:t>
      </w:r>
    </w:p>
    <w:p w14:paraId="069FEA70">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4.省人力资源社会保障厅形式审查后，组织</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设站单位或用人单位对拟补助人员名单进行公示，公示期为5个工作日（不含周末及法定假期）。公示无异议的，发文公布发放补助人员名单，</w:t>
      </w:r>
      <w:r>
        <w:rPr>
          <w:rFonts w:hint="eastAsia" w:ascii="Times New Roman" w:hAnsi="Times New Roman" w:eastAsia="仿宋_GB2312" w:cs="Times New Roman"/>
          <w:color w:val="auto"/>
        </w:rPr>
        <w:t>于2026年3月底前</w:t>
      </w:r>
      <w:r>
        <w:rPr>
          <w:rFonts w:ascii="Times New Roman" w:hAnsi="Times New Roman" w:eastAsia="仿宋_GB2312" w:cs="Times New Roman"/>
          <w:color w:val="auto"/>
        </w:rPr>
        <w:t>按规定将所负责的补助经费拨付人员所在单位</w:t>
      </w:r>
      <w:r>
        <w:rPr>
          <w:rFonts w:hint="eastAsia" w:ascii="Times New Roman" w:hAnsi="Times New Roman" w:eastAsia="仿宋_GB2312" w:cs="Times New Roman"/>
          <w:color w:val="auto"/>
        </w:rPr>
        <w:t>，</w:t>
      </w:r>
      <w:r>
        <w:rPr>
          <w:rFonts w:ascii="Times New Roman" w:hAnsi="Times New Roman" w:eastAsia="仿宋_GB2312" w:cs="Times New Roman"/>
          <w:color w:val="auto"/>
        </w:rPr>
        <w:t>由所在单位及时发放给个人。</w:t>
      </w:r>
    </w:p>
    <w:p w14:paraId="7441C5B3">
      <w:pPr>
        <w:spacing w:line="240" w:lineRule="auto"/>
        <w:ind w:firstLine="0" w:firstLineChars="0"/>
        <w:rPr>
          <w:rFonts w:ascii="Times New Roman" w:hAnsi="Times New Roman" w:eastAsia="仿宋_GB2312" w:cs="Times New Roman"/>
          <w:color w:val="auto"/>
        </w:rPr>
      </w:pPr>
      <w:r>
        <w:rPr>
          <w:rFonts w:ascii="Times New Roman" w:hAnsi="Times New Roman" w:eastAsia="仿宋_GB2312" w:cs="Times New Roman"/>
          <w:color w:val="auto"/>
        </w:rPr>
        <w:br w:type="page"/>
      </w:r>
    </w:p>
    <w:p w14:paraId="62E77E40">
      <w:pPr>
        <w:pStyle w:val="11"/>
        <w:keepNext w:val="0"/>
        <w:keepLines w:val="0"/>
        <w:pageBreakBefore w:val="0"/>
        <w:widowControl w:val="0"/>
        <w:kinsoku/>
        <w:wordWrap/>
        <w:overflowPunct/>
        <w:topLinePunct w:val="0"/>
        <w:autoSpaceDE/>
        <w:autoSpaceDN/>
        <w:bidi w:val="0"/>
        <w:adjustRightInd/>
        <w:snapToGrid/>
        <w:spacing w:after="0" w:line="560" w:lineRule="exact"/>
        <w:jc w:val="left"/>
        <w:textAlignment w:val="auto"/>
        <w:rPr>
          <w:rFonts w:ascii="黑体" w:hAnsi="黑体" w:eastAsia="黑体" w:cs="黑体"/>
          <w:color w:val="auto"/>
          <w:szCs w:val="32"/>
        </w:rPr>
      </w:pPr>
      <w:r>
        <w:rPr>
          <w:rFonts w:ascii="Times New Roman" w:hAnsi="Times New Roman" w:cs="Times New Roman"/>
          <w:color w:val="auto"/>
          <w:kern w:val="0"/>
          <w:sz w:val="22"/>
          <w:szCs w:val="22"/>
          <w:lang w:bidi="ar"/>
        </w:rPr>
        <w:fldChar w:fldCharType="begin"/>
      </w:r>
      <w:r>
        <w:rPr>
          <w:rFonts w:ascii="Times New Roman" w:hAnsi="Times New Roman" w:cs="Times New Roman"/>
          <w:color w:val="auto"/>
          <w:kern w:val="0"/>
          <w:sz w:val="22"/>
          <w:szCs w:val="22"/>
          <w:lang w:bidi="ar"/>
        </w:rPr>
        <w:instrText xml:space="preserve"> HYPERLINK "mailto:6.请各推荐单位将该表PDF文件（加盖推荐单位公章）及Excel电子版,连同申报材料电子版一并发送至lihrst@shandong.cn。" </w:instrText>
      </w:r>
      <w:r>
        <w:rPr>
          <w:rFonts w:ascii="Times New Roman" w:hAnsi="Times New Roman" w:cs="Times New Roman"/>
          <w:color w:val="auto"/>
          <w:kern w:val="0"/>
          <w:sz w:val="22"/>
          <w:szCs w:val="22"/>
          <w:lang w:bidi="ar"/>
        </w:rPr>
        <w:fldChar w:fldCharType="separate"/>
      </w:r>
      <w:r>
        <w:rPr>
          <w:rFonts w:hint="eastAsia" w:ascii="黑体" w:hAnsi="黑体" w:eastAsia="黑体" w:cs="黑体"/>
          <w:color w:val="auto"/>
          <w:szCs w:val="32"/>
        </w:rPr>
        <w:t>附件2</w:t>
      </w:r>
    </w:p>
    <w:p w14:paraId="3DEBBA5C">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hAnsi="黑体" w:eastAsia="黑体" w:cs="黑体"/>
          <w:color w:val="auto"/>
          <w:szCs w:val="32"/>
        </w:rPr>
      </w:pPr>
    </w:p>
    <w:p w14:paraId="3752538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各市人力资源社会保障局咨询方式</w:t>
      </w:r>
    </w:p>
    <w:p w14:paraId="564AAE7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color w:val="auto"/>
          <w:sz w:val="44"/>
          <w:szCs w:val="44"/>
        </w:rPr>
      </w:pPr>
    </w:p>
    <w:tbl>
      <w:tblPr>
        <w:tblStyle w:val="16"/>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5"/>
        <w:gridCol w:w="3118"/>
        <w:gridCol w:w="1757"/>
        <w:gridCol w:w="2443"/>
      </w:tblGrid>
      <w:tr w14:paraId="0838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blHeader/>
          <w:jc w:val="center"/>
        </w:trPr>
        <w:tc>
          <w:tcPr>
            <w:tcW w:w="2135" w:type="dxa"/>
            <w:vAlign w:val="center"/>
          </w:tcPr>
          <w:p w14:paraId="097E7C2A">
            <w:pPr>
              <w:spacing w:line="360" w:lineRule="exact"/>
              <w:jc w:val="center"/>
              <w:rPr>
                <w:rFonts w:ascii="黑体" w:hAnsi="黑体" w:eastAsia="黑体" w:cs="黑体"/>
                <w:color w:val="auto"/>
                <w:sz w:val="24"/>
              </w:rPr>
            </w:pPr>
            <w:r>
              <w:rPr>
                <w:rFonts w:hint="eastAsia" w:ascii="黑体" w:hAnsi="黑体" w:eastAsia="黑体" w:cs="黑体"/>
                <w:color w:val="auto"/>
                <w:sz w:val="24"/>
              </w:rPr>
              <w:t>单位名称</w:t>
            </w:r>
          </w:p>
        </w:tc>
        <w:tc>
          <w:tcPr>
            <w:tcW w:w="3118" w:type="dxa"/>
            <w:vAlign w:val="center"/>
          </w:tcPr>
          <w:p w14:paraId="4959AD83">
            <w:pPr>
              <w:spacing w:line="360" w:lineRule="exact"/>
              <w:jc w:val="center"/>
              <w:rPr>
                <w:rFonts w:ascii="黑体" w:hAnsi="黑体" w:eastAsia="黑体" w:cs="黑体"/>
                <w:color w:val="auto"/>
                <w:sz w:val="24"/>
              </w:rPr>
            </w:pPr>
            <w:r>
              <w:rPr>
                <w:rFonts w:hint="eastAsia" w:ascii="黑体" w:hAnsi="黑体" w:eastAsia="黑体" w:cs="黑体"/>
                <w:color w:val="auto"/>
                <w:sz w:val="24"/>
              </w:rPr>
              <w:t>业务主管部门</w:t>
            </w:r>
          </w:p>
        </w:tc>
        <w:tc>
          <w:tcPr>
            <w:tcW w:w="1757" w:type="dxa"/>
            <w:vAlign w:val="center"/>
          </w:tcPr>
          <w:p w14:paraId="7D1509CC">
            <w:pPr>
              <w:spacing w:line="360" w:lineRule="exact"/>
              <w:jc w:val="center"/>
              <w:rPr>
                <w:rFonts w:ascii="黑体" w:hAnsi="黑体" w:eastAsia="黑体" w:cs="黑体"/>
                <w:color w:val="auto"/>
                <w:sz w:val="24"/>
              </w:rPr>
            </w:pPr>
            <w:r>
              <w:rPr>
                <w:rFonts w:hint="eastAsia" w:ascii="黑体" w:hAnsi="黑体" w:eastAsia="黑体" w:cs="黑体"/>
                <w:color w:val="auto"/>
                <w:sz w:val="24"/>
              </w:rPr>
              <w:t>办公电话</w:t>
            </w:r>
          </w:p>
        </w:tc>
        <w:tc>
          <w:tcPr>
            <w:tcW w:w="2443" w:type="dxa"/>
            <w:vAlign w:val="center"/>
          </w:tcPr>
          <w:p w14:paraId="4125916E">
            <w:pPr>
              <w:spacing w:line="360" w:lineRule="exact"/>
              <w:jc w:val="center"/>
              <w:rPr>
                <w:rFonts w:ascii="黑体" w:hAnsi="黑体" w:eastAsia="黑体" w:cs="黑体"/>
                <w:color w:val="auto"/>
                <w:sz w:val="24"/>
              </w:rPr>
            </w:pPr>
            <w:r>
              <w:rPr>
                <w:rFonts w:hint="eastAsia" w:ascii="黑体" w:hAnsi="黑体" w:eastAsia="黑体" w:cs="黑体"/>
                <w:color w:val="auto"/>
                <w:sz w:val="24"/>
              </w:rPr>
              <w:t>电子邮箱</w:t>
            </w:r>
          </w:p>
        </w:tc>
      </w:tr>
      <w:tr w14:paraId="5B9C2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vAlign w:val="center"/>
          </w:tcPr>
          <w:p w14:paraId="6E87905E">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济南市人力资源和社会保障局</w:t>
            </w:r>
          </w:p>
        </w:tc>
        <w:tc>
          <w:tcPr>
            <w:tcW w:w="3118" w:type="dxa"/>
            <w:shd w:val="clear" w:color="auto" w:fill="auto"/>
            <w:vAlign w:val="center"/>
          </w:tcPr>
          <w:p w14:paraId="20B3DD4E">
            <w:pPr>
              <w:spacing w:line="400" w:lineRule="exact"/>
              <w:jc w:val="center"/>
              <w:rPr>
                <w:rFonts w:ascii="宋体" w:hAnsi="宋体" w:eastAsia="宋体" w:cs="宋体"/>
                <w:color w:val="auto"/>
                <w:sz w:val="24"/>
              </w:rPr>
            </w:pPr>
            <w:r>
              <w:rPr>
                <w:rFonts w:hint="eastAsia" w:ascii="宋体" w:hAnsi="宋体" w:eastAsia="宋体" w:cs="宋体"/>
                <w:color w:val="auto"/>
                <w:sz w:val="24"/>
              </w:rPr>
              <w:t>市人才服务中心待遇保障部</w:t>
            </w:r>
          </w:p>
        </w:tc>
        <w:tc>
          <w:tcPr>
            <w:tcW w:w="1757" w:type="dxa"/>
            <w:shd w:val="clear" w:color="auto" w:fill="auto"/>
            <w:vAlign w:val="center"/>
          </w:tcPr>
          <w:p w14:paraId="5D63F0DE">
            <w:pPr>
              <w:spacing w:line="400" w:lineRule="exact"/>
              <w:jc w:val="center"/>
              <w:rPr>
                <w:rFonts w:ascii="宋体" w:hAnsi="宋体" w:eastAsia="宋体" w:cs="宋体"/>
                <w:color w:val="auto"/>
                <w:sz w:val="24"/>
              </w:rPr>
            </w:pPr>
            <w:r>
              <w:rPr>
                <w:rFonts w:hint="eastAsia" w:ascii="宋体" w:hAnsi="宋体" w:eastAsia="宋体" w:cs="宋体"/>
                <w:color w:val="auto"/>
                <w:sz w:val="24"/>
              </w:rPr>
              <w:t>0531-87081613</w:t>
            </w:r>
          </w:p>
        </w:tc>
        <w:tc>
          <w:tcPr>
            <w:tcW w:w="2443" w:type="dxa"/>
            <w:shd w:val="clear" w:color="auto" w:fill="auto"/>
            <w:vAlign w:val="center"/>
          </w:tcPr>
          <w:p w14:paraId="7D8FAF78">
            <w:pPr>
              <w:spacing w:line="400" w:lineRule="exact"/>
              <w:jc w:val="center"/>
              <w:rPr>
                <w:rFonts w:ascii="宋体" w:hAnsi="宋体" w:eastAsia="宋体" w:cs="宋体"/>
                <w:color w:val="auto"/>
                <w:sz w:val="24"/>
              </w:rPr>
            </w:pPr>
            <w:r>
              <w:rPr>
                <w:rFonts w:hint="eastAsia" w:ascii="宋体" w:hAnsi="宋体" w:eastAsia="宋体" w:cs="宋体"/>
                <w:color w:val="auto"/>
                <w:sz w:val="24"/>
              </w:rPr>
              <w:t>srcfwzxdybzb@jn.shandong.cn</w:t>
            </w:r>
          </w:p>
        </w:tc>
      </w:tr>
      <w:tr w14:paraId="529C7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exact"/>
          <w:jc w:val="center"/>
        </w:trPr>
        <w:tc>
          <w:tcPr>
            <w:tcW w:w="2135" w:type="dxa"/>
            <w:vMerge w:val="restart"/>
            <w:shd w:val="clear" w:color="auto" w:fill="auto"/>
            <w:vAlign w:val="center"/>
          </w:tcPr>
          <w:p w14:paraId="7C5D7342">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青岛市人力资源和社会保障局</w:t>
            </w:r>
          </w:p>
        </w:tc>
        <w:tc>
          <w:tcPr>
            <w:tcW w:w="3118" w:type="dxa"/>
            <w:shd w:val="clear" w:color="auto" w:fill="auto"/>
            <w:vAlign w:val="center"/>
          </w:tcPr>
          <w:p w14:paraId="0B49C3E8">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（博士生活补助）市人才服务中心人才服务部</w:t>
            </w:r>
          </w:p>
        </w:tc>
        <w:tc>
          <w:tcPr>
            <w:tcW w:w="1757" w:type="dxa"/>
            <w:shd w:val="clear" w:color="auto" w:fill="auto"/>
            <w:vAlign w:val="center"/>
          </w:tcPr>
          <w:p w14:paraId="6A8DB52C">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0532-88913226</w:t>
            </w:r>
          </w:p>
        </w:tc>
        <w:tc>
          <w:tcPr>
            <w:tcW w:w="2443" w:type="dxa"/>
            <w:shd w:val="clear" w:color="auto" w:fill="auto"/>
            <w:vAlign w:val="center"/>
          </w:tcPr>
          <w:p w14:paraId="0E3C5DCC">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fldChar w:fldCharType="begin"/>
            </w:r>
            <w:r>
              <w:rPr>
                <w:rFonts w:hint="eastAsia" w:asciiTheme="minorEastAsia" w:hAnsiTheme="minorEastAsia" w:cstheme="minorEastAsia"/>
                <w:color w:val="auto"/>
                <w:sz w:val="24"/>
              </w:rPr>
              <w:instrText xml:space="preserve"> HYPERLINK "mailto:qdrcfwc@qd.shandong.cn" </w:instrText>
            </w:r>
            <w:r>
              <w:rPr>
                <w:rFonts w:hint="eastAsia" w:asciiTheme="minorEastAsia" w:hAnsiTheme="minorEastAsia" w:cstheme="minorEastAsia"/>
                <w:color w:val="auto"/>
                <w:sz w:val="24"/>
              </w:rPr>
              <w:fldChar w:fldCharType="separate"/>
            </w:r>
            <w:r>
              <w:rPr>
                <w:rFonts w:hint="eastAsia" w:asciiTheme="minorEastAsia" w:hAnsiTheme="minorEastAsia" w:cstheme="minorEastAsia"/>
                <w:color w:val="auto"/>
                <w:sz w:val="24"/>
              </w:rPr>
              <w:t>qdrcfwc@qd.shandong.cn</w:t>
            </w:r>
            <w:r>
              <w:rPr>
                <w:rFonts w:hint="eastAsia" w:asciiTheme="minorEastAsia" w:hAnsiTheme="minorEastAsia" w:cstheme="minorEastAsia"/>
                <w:color w:val="auto"/>
                <w:sz w:val="24"/>
              </w:rPr>
              <w:fldChar w:fldCharType="end"/>
            </w:r>
          </w:p>
          <w:p w14:paraId="35A258F3">
            <w:pPr>
              <w:spacing w:line="400" w:lineRule="exact"/>
              <w:jc w:val="center"/>
              <w:rPr>
                <w:rFonts w:asciiTheme="minorEastAsia" w:hAnsiTheme="minorEastAsia" w:cstheme="minorEastAsia"/>
                <w:color w:val="auto"/>
                <w:sz w:val="24"/>
              </w:rPr>
            </w:pPr>
          </w:p>
        </w:tc>
      </w:tr>
      <w:tr w14:paraId="72123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exact"/>
          <w:jc w:val="center"/>
        </w:trPr>
        <w:tc>
          <w:tcPr>
            <w:tcW w:w="2135" w:type="dxa"/>
            <w:vMerge w:val="continue"/>
            <w:vAlign w:val="center"/>
          </w:tcPr>
          <w:p w14:paraId="09F1C41C">
            <w:pPr>
              <w:spacing w:line="400" w:lineRule="exact"/>
              <w:jc w:val="center"/>
              <w:rPr>
                <w:rFonts w:asciiTheme="minorEastAsia" w:hAnsiTheme="minorEastAsia" w:cstheme="minorEastAsia"/>
                <w:color w:val="auto"/>
                <w:sz w:val="24"/>
              </w:rPr>
            </w:pPr>
          </w:p>
        </w:tc>
        <w:tc>
          <w:tcPr>
            <w:tcW w:w="3118" w:type="dxa"/>
            <w:shd w:val="clear" w:color="auto" w:fill="auto"/>
            <w:vAlign w:val="center"/>
          </w:tcPr>
          <w:p w14:paraId="0E461292">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（博士后生活补助）专业技术人员管理处（博士后工作处）</w:t>
            </w:r>
          </w:p>
        </w:tc>
        <w:tc>
          <w:tcPr>
            <w:tcW w:w="1757" w:type="dxa"/>
            <w:shd w:val="clear" w:color="auto" w:fill="auto"/>
            <w:vAlign w:val="center"/>
          </w:tcPr>
          <w:p w14:paraId="60C7BFD9">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0532-85912793</w:t>
            </w:r>
          </w:p>
        </w:tc>
        <w:tc>
          <w:tcPr>
            <w:tcW w:w="2443" w:type="dxa"/>
            <w:shd w:val="clear" w:color="auto" w:fill="auto"/>
            <w:vAlign w:val="center"/>
          </w:tcPr>
          <w:p w14:paraId="46D2E9F7">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qdrsjbsh@qd.shandong.cn</w:t>
            </w:r>
          </w:p>
        </w:tc>
      </w:tr>
      <w:tr w14:paraId="486F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vMerge w:val="restart"/>
            <w:vAlign w:val="center"/>
          </w:tcPr>
          <w:p w14:paraId="510B33C3">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淄博市人力资源和社会保障局</w:t>
            </w:r>
          </w:p>
        </w:tc>
        <w:tc>
          <w:tcPr>
            <w:tcW w:w="3118" w:type="dxa"/>
            <w:vAlign w:val="center"/>
          </w:tcPr>
          <w:p w14:paraId="51D575C3">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（博士生活补助）人才开发科</w:t>
            </w:r>
          </w:p>
        </w:tc>
        <w:tc>
          <w:tcPr>
            <w:tcW w:w="1757" w:type="dxa"/>
            <w:vAlign w:val="center"/>
          </w:tcPr>
          <w:p w14:paraId="6A9C505F">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0533-3183091</w:t>
            </w:r>
          </w:p>
        </w:tc>
        <w:tc>
          <w:tcPr>
            <w:tcW w:w="2443" w:type="dxa"/>
            <w:vAlign w:val="center"/>
          </w:tcPr>
          <w:p w14:paraId="39A1F8A8">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zbsrsjrck@zb.shandong.cn</w:t>
            </w:r>
          </w:p>
        </w:tc>
      </w:tr>
      <w:tr w14:paraId="5B3F3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exact"/>
          <w:jc w:val="center"/>
        </w:trPr>
        <w:tc>
          <w:tcPr>
            <w:tcW w:w="2135" w:type="dxa"/>
            <w:vMerge w:val="continue"/>
            <w:vAlign w:val="center"/>
          </w:tcPr>
          <w:p w14:paraId="384937C1">
            <w:pPr>
              <w:spacing w:line="400" w:lineRule="exact"/>
              <w:jc w:val="center"/>
              <w:rPr>
                <w:rFonts w:asciiTheme="minorEastAsia" w:hAnsiTheme="minorEastAsia" w:cstheme="minorEastAsia"/>
                <w:color w:val="auto"/>
                <w:sz w:val="24"/>
              </w:rPr>
            </w:pPr>
          </w:p>
        </w:tc>
        <w:tc>
          <w:tcPr>
            <w:tcW w:w="3118" w:type="dxa"/>
            <w:shd w:val="clear" w:color="auto" w:fill="auto"/>
            <w:vAlign w:val="center"/>
          </w:tcPr>
          <w:p w14:paraId="3AC7FC98">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（博士后生活补助）市公共就业和人才服务中心人才服务四科</w:t>
            </w:r>
          </w:p>
        </w:tc>
        <w:tc>
          <w:tcPr>
            <w:tcW w:w="1757" w:type="dxa"/>
            <w:shd w:val="clear" w:color="auto" w:fill="auto"/>
            <w:vAlign w:val="center"/>
          </w:tcPr>
          <w:p w14:paraId="4002B588">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0533-2769857</w:t>
            </w:r>
          </w:p>
        </w:tc>
        <w:tc>
          <w:tcPr>
            <w:tcW w:w="2443" w:type="dxa"/>
            <w:shd w:val="clear" w:color="auto" w:fill="auto"/>
            <w:vAlign w:val="center"/>
          </w:tcPr>
          <w:p w14:paraId="131D542A">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zbsrcfwzx@zb.shandong.cn</w:t>
            </w:r>
          </w:p>
        </w:tc>
      </w:tr>
      <w:tr w14:paraId="7E45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vAlign w:val="center"/>
          </w:tcPr>
          <w:p w14:paraId="6BC942A2">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枣庄市人力资源和社会保障局</w:t>
            </w:r>
          </w:p>
        </w:tc>
        <w:tc>
          <w:tcPr>
            <w:tcW w:w="3118" w:type="dxa"/>
            <w:shd w:val="clear" w:color="auto" w:fill="auto"/>
            <w:vAlign w:val="center"/>
          </w:tcPr>
          <w:p w14:paraId="246D7B27">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人才开发与专业技术人员管理科</w:t>
            </w:r>
          </w:p>
        </w:tc>
        <w:tc>
          <w:tcPr>
            <w:tcW w:w="1757" w:type="dxa"/>
            <w:shd w:val="clear" w:color="auto" w:fill="auto"/>
            <w:vAlign w:val="center"/>
          </w:tcPr>
          <w:p w14:paraId="1D86B30C">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0632-3310710</w:t>
            </w:r>
          </w:p>
        </w:tc>
        <w:tc>
          <w:tcPr>
            <w:tcW w:w="2443" w:type="dxa"/>
            <w:shd w:val="clear" w:color="auto" w:fill="auto"/>
            <w:vAlign w:val="center"/>
          </w:tcPr>
          <w:p w14:paraId="5B71F400">
            <w:pPr>
              <w:spacing w:line="400" w:lineRule="exact"/>
              <w:rPr>
                <w:rFonts w:asciiTheme="minorEastAsia" w:hAnsiTheme="minorEastAsia" w:cstheme="minorEastAsia"/>
                <w:color w:val="auto"/>
                <w:sz w:val="24"/>
              </w:rPr>
            </w:pPr>
            <w:r>
              <w:rPr>
                <w:rFonts w:hint="eastAsia" w:asciiTheme="minorEastAsia" w:hAnsiTheme="minorEastAsia" w:cstheme="minorEastAsia"/>
                <w:color w:val="auto"/>
                <w:sz w:val="24"/>
              </w:rPr>
              <w:t>rcldk@zz.shandong.cn</w:t>
            </w:r>
          </w:p>
          <w:p w14:paraId="23527CE6">
            <w:pPr>
              <w:spacing w:line="400" w:lineRule="exact"/>
              <w:jc w:val="center"/>
              <w:rPr>
                <w:rFonts w:asciiTheme="minorEastAsia" w:hAnsiTheme="minorEastAsia" w:cstheme="minorEastAsia"/>
                <w:color w:val="auto"/>
                <w:sz w:val="24"/>
              </w:rPr>
            </w:pPr>
          </w:p>
        </w:tc>
      </w:tr>
      <w:tr w14:paraId="0B286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shd w:val="clear" w:color="auto" w:fill="auto"/>
            <w:vAlign w:val="center"/>
          </w:tcPr>
          <w:p w14:paraId="53ABE643">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东营市人力资源和社会保障局</w:t>
            </w:r>
          </w:p>
        </w:tc>
        <w:tc>
          <w:tcPr>
            <w:tcW w:w="3118" w:type="dxa"/>
            <w:shd w:val="clear" w:color="auto" w:fill="auto"/>
            <w:vAlign w:val="center"/>
          </w:tcPr>
          <w:p w14:paraId="6EB4B24A">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人才开发与人力资源流动管理科</w:t>
            </w:r>
          </w:p>
        </w:tc>
        <w:tc>
          <w:tcPr>
            <w:tcW w:w="1757" w:type="dxa"/>
            <w:shd w:val="clear" w:color="auto" w:fill="auto"/>
            <w:vAlign w:val="center"/>
          </w:tcPr>
          <w:p w14:paraId="4238394B">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0546-8386057</w:t>
            </w:r>
          </w:p>
        </w:tc>
        <w:tc>
          <w:tcPr>
            <w:tcW w:w="2443" w:type="dxa"/>
            <w:shd w:val="clear" w:color="auto" w:fill="auto"/>
            <w:vAlign w:val="center"/>
          </w:tcPr>
          <w:p w14:paraId="44D26865">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dysrsjrck@dy.shandong.cn</w:t>
            </w:r>
          </w:p>
        </w:tc>
      </w:tr>
      <w:tr w14:paraId="4ED48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vAlign w:val="center"/>
          </w:tcPr>
          <w:p w14:paraId="0308A0CC">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烟台市人力资源和社会保障局</w:t>
            </w:r>
          </w:p>
        </w:tc>
        <w:tc>
          <w:tcPr>
            <w:tcW w:w="3118" w:type="dxa"/>
            <w:shd w:val="clear" w:color="auto" w:fill="auto"/>
            <w:vAlign w:val="center"/>
          </w:tcPr>
          <w:p w14:paraId="5450BDE7">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市公共就业和人才服务中心博士后服务科</w:t>
            </w:r>
          </w:p>
        </w:tc>
        <w:tc>
          <w:tcPr>
            <w:tcW w:w="1757" w:type="dxa"/>
            <w:shd w:val="clear" w:color="auto" w:fill="auto"/>
            <w:vAlign w:val="center"/>
          </w:tcPr>
          <w:p w14:paraId="1C377362">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0535-6780128</w:t>
            </w:r>
          </w:p>
        </w:tc>
        <w:tc>
          <w:tcPr>
            <w:tcW w:w="2443" w:type="dxa"/>
            <w:shd w:val="clear" w:color="auto" w:fill="auto"/>
            <w:vAlign w:val="center"/>
          </w:tcPr>
          <w:p w14:paraId="39C4CA9F">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ytjyrczxbshfwk@163.com</w:t>
            </w:r>
          </w:p>
        </w:tc>
      </w:tr>
      <w:tr w14:paraId="753AF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shd w:val="clear" w:color="auto" w:fill="auto"/>
            <w:vAlign w:val="center"/>
          </w:tcPr>
          <w:p w14:paraId="3E4E8FEB">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潍坊市人力资源和社会保障局</w:t>
            </w:r>
          </w:p>
        </w:tc>
        <w:tc>
          <w:tcPr>
            <w:tcW w:w="3118" w:type="dxa"/>
            <w:shd w:val="clear" w:color="auto" w:fill="auto"/>
            <w:vAlign w:val="center"/>
          </w:tcPr>
          <w:p w14:paraId="64F4BF92">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人才开发办公室</w:t>
            </w:r>
          </w:p>
        </w:tc>
        <w:tc>
          <w:tcPr>
            <w:tcW w:w="1757" w:type="dxa"/>
            <w:shd w:val="clear" w:color="auto" w:fill="auto"/>
            <w:vAlign w:val="center"/>
          </w:tcPr>
          <w:p w14:paraId="0F776555">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0536-8096827</w:t>
            </w:r>
          </w:p>
        </w:tc>
        <w:tc>
          <w:tcPr>
            <w:tcW w:w="2443" w:type="dxa"/>
            <w:shd w:val="clear" w:color="auto" w:fill="auto"/>
            <w:vAlign w:val="center"/>
          </w:tcPr>
          <w:p w14:paraId="29F62AD7">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wfrsj-rcb@wf.shandong.cn</w:t>
            </w:r>
          </w:p>
        </w:tc>
      </w:tr>
      <w:tr w14:paraId="7195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shd w:val="clear" w:color="auto" w:fill="auto"/>
            <w:vAlign w:val="center"/>
          </w:tcPr>
          <w:p w14:paraId="5C3CAF2A">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济宁市人力资源和社会保障局</w:t>
            </w:r>
          </w:p>
        </w:tc>
        <w:tc>
          <w:tcPr>
            <w:tcW w:w="3118" w:type="dxa"/>
            <w:shd w:val="clear" w:color="auto" w:fill="auto"/>
            <w:vAlign w:val="center"/>
          </w:tcPr>
          <w:p w14:paraId="39AEE7B9">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人才开发科</w:t>
            </w:r>
          </w:p>
        </w:tc>
        <w:tc>
          <w:tcPr>
            <w:tcW w:w="1757" w:type="dxa"/>
            <w:shd w:val="clear" w:color="auto" w:fill="auto"/>
            <w:vAlign w:val="center"/>
          </w:tcPr>
          <w:p w14:paraId="5C26B3AC">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0537-2967989</w:t>
            </w:r>
          </w:p>
        </w:tc>
        <w:tc>
          <w:tcPr>
            <w:tcW w:w="2443" w:type="dxa"/>
            <w:shd w:val="clear" w:color="auto" w:fill="auto"/>
            <w:vAlign w:val="center"/>
          </w:tcPr>
          <w:p w14:paraId="67141A5C">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rsjrckfk@ji.shandong.cn</w:t>
            </w:r>
          </w:p>
        </w:tc>
      </w:tr>
      <w:tr w14:paraId="3DDC7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vMerge w:val="restart"/>
            <w:vAlign w:val="center"/>
          </w:tcPr>
          <w:p w14:paraId="2DC4AFF0">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泰安市人力资源和社会保障局</w:t>
            </w:r>
          </w:p>
        </w:tc>
        <w:tc>
          <w:tcPr>
            <w:tcW w:w="3118" w:type="dxa"/>
            <w:vAlign w:val="center"/>
          </w:tcPr>
          <w:p w14:paraId="6DEBE77B">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（博士生活补助）市公共就业和人才服务中心</w:t>
            </w:r>
          </w:p>
        </w:tc>
        <w:tc>
          <w:tcPr>
            <w:tcW w:w="1757" w:type="dxa"/>
            <w:vAlign w:val="center"/>
          </w:tcPr>
          <w:p w14:paraId="23A6950D">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0538-8211925</w:t>
            </w:r>
          </w:p>
        </w:tc>
        <w:tc>
          <w:tcPr>
            <w:tcW w:w="2443" w:type="dxa"/>
            <w:vAlign w:val="center"/>
          </w:tcPr>
          <w:p w14:paraId="665A09D5">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jyzdk@ta.shandong.cn</w:t>
            </w:r>
          </w:p>
        </w:tc>
      </w:tr>
      <w:tr w14:paraId="1D81E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vMerge w:val="continue"/>
            <w:vAlign w:val="center"/>
          </w:tcPr>
          <w:p w14:paraId="583AAE3B">
            <w:pPr>
              <w:spacing w:line="400" w:lineRule="exact"/>
              <w:jc w:val="center"/>
              <w:rPr>
                <w:rFonts w:asciiTheme="minorEastAsia" w:hAnsiTheme="minorEastAsia" w:cstheme="minorEastAsia"/>
                <w:color w:val="auto"/>
                <w:sz w:val="24"/>
              </w:rPr>
            </w:pPr>
          </w:p>
        </w:tc>
        <w:tc>
          <w:tcPr>
            <w:tcW w:w="3118" w:type="dxa"/>
            <w:shd w:val="clear" w:color="auto" w:fill="auto"/>
            <w:vAlign w:val="center"/>
          </w:tcPr>
          <w:p w14:paraId="44ED9A8E">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（博士后生活补助）专业技术人员管理处</w:t>
            </w:r>
          </w:p>
        </w:tc>
        <w:tc>
          <w:tcPr>
            <w:tcW w:w="1757" w:type="dxa"/>
            <w:shd w:val="clear" w:color="auto" w:fill="auto"/>
            <w:vAlign w:val="center"/>
          </w:tcPr>
          <w:p w14:paraId="42320C03">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0538-6991985</w:t>
            </w:r>
          </w:p>
        </w:tc>
        <w:tc>
          <w:tcPr>
            <w:tcW w:w="2443" w:type="dxa"/>
            <w:shd w:val="clear" w:color="auto" w:fill="auto"/>
            <w:vAlign w:val="center"/>
          </w:tcPr>
          <w:p w14:paraId="12E0B985">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rsjzjc@ta.shandong.cn</w:t>
            </w:r>
          </w:p>
        </w:tc>
      </w:tr>
      <w:tr w14:paraId="1E0B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vAlign w:val="center"/>
          </w:tcPr>
          <w:p w14:paraId="52F9D1E0">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威海市人力资源和社会保障局</w:t>
            </w:r>
          </w:p>
        </w:tc>
        <w:tc>
          <w:tcPr>
            <w:tcW w:w="3118" w:type="dxa"/>
            <w:shd w:val="clear" w:color="auto" w:fill="auto"/>
            <w:vAlign w:val="center"/>
          </w:tcPr>
          <w:p w14:paraId="02231676">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人才开发科</w:t>
            </w:r>
          </w:p>
        </w:tc>
        <w:tc>
          <w:tcPr>
            <w:tcW w:w="1757" w:type="dxa"/>
            <w:shd w:val="clear" w:color="auto" w:fill="auto"/>
            <w:vAlign w:val="center"/>
          </w:tcPr>
          <w:p w14:paraId="5281F84D">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0631-5190961</w:t>
            </w:r>
          </w:p>
        </w:tc>
        <w:tc>
          <w:tcPr>
            <w:tcW w:w="2443" w:type="dxa"/>
            <w:shd w:val="clear" w:color="auto" w:fill="auto"/>
            <w:vAlign w:val="center"/>
          </w:tcPr>
          <w:p w14:paraId="42B07D9D">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whrckf@wh.shandong.cn</w:t>
            </w:r>
          </w:p>
        </w:tc>
      </w:tr>
      <w:tr w14:paraId="21CAA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shd w:val="clear" w:color="auto" w:fill="auto"/>
            <w:vAlign w:val="center"/>
          </w:tcPr>
          <w:p w14:paraId="378D44F8">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日照市人力资源和社会保障局</w:t>
            </w:r>
          </w:p>
        </w:tc>
        <w:tc>
          <w:tcPr>
            <w:tcW w:w="3118" w:type="dxa"/>
            <w:shd w:val="clear" w:color="auto" w:fill="auto"/>
            <w:vAlign w:val="center"/>
          </w:tcPr>
          <w:p w14:paraId="552FE44C">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市公共就业和人才服务中心项目服务科</w:t>
            </w:r>
          </w:p>
        </w:tc>
        <w:tc>
          <w:tcPr>
            <w:tcW w:w="1757" w:type="dxa"/>
            <w:shd w:val="clear" w:color="auto" w:fill="auto"/>
            <w:vAlign w:val="center"/>
          </w:tcPr>
          <w:p w14:paraId="54A30A5C">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0633-8866202</w:t>
            </w:r>
          </w:p>
        </w:tc>
        <w:tc>
          <w:tcPr>
            <w:tcW w:w="2443" w:type="dxa"/>
            <w:shd w:val="clear" w:color="auto" w:fill="auto"/>
            <w:vAlign w:val="center"/>
          </w:tcPr>
          <w:p w14:paraId="02F6C1EF">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rzxmfwk@rz.shandong.cn</w:t>
            </w:r>
          </w:p>
        </w:tc>
      </w:tr>
      <w:tr w14:paraId="0416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shd w:val="clear" w:color="auto" w:fill="auto"/>
            <w:vAlign w:val="center"/>
          </w:tcPr>
          <w:p w14:paraId="491F483A">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临沂市人力资源和社会保障局</w:t>
            </w:r>
          </w:p>
        </w:tc>
        <w:tc>
          <w:tcPr>
            <w:tcW w:w="3118" w:type="dxa"/>
            <w:shd w:val="clear" w:color="auto" w:fill="auto"/>
            <w:vAlign w:val="center"/>
          </w:tcPr>
          <w:p w14:paraId="5E4A89F5">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市人事考试中心留学人员和专家服务科</w:t>
            </w:r>
          </w:p>
        </w:tc>
        <w:tc>
          <w:tcPr>
            <w:tcW w:w="1757" w:type="dxa"/>
            <w:shd w:val="clear" w:color="auto" w:fill="auto"/>
            <w:vAlign w:val="center"/>
          </w:tcPr>
          <w:p w14:paraId="2EF3054A">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0539-8612617</w:t>
            </w:r>
          </w:p>
        </w:tc>
        <w:tc>
          <w:tcPr>
            <w:tcW w:w="2443" w:type="dxa"/>
            <w:shd w:val="clear" w:color="auto" w:fill="auto"/>
            <w:vAlign w:val="center"/>
          </w:tcPr>
          <w:p w14:paraId="6651F8FF">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lylxzjfwzx@ly.shandong.cn</w:t>
            </w:r>
          </w:p>
        </w:tc>
      </w:tr>
      <w:tr w14:paraId="77D93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shd w:val="clear" w:color="auto" w:fill="auto"/>
            <w:vAlign w:val="center"/>
          </w:tcPr>
          <w:p w14:paraId="1E7E01D8">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德州市人力资源和社会保障局</w:t>
            </w:r>
          </w:p>
        </w:tc>
        <w:tc>
          <w:tcPr>
            <w:tcW w:w="3118" w:type="dxa"/>
            <w:shd w:val="clear" w:color="auto" w:fill="auto"/>
            <w:vAlign w:val="center"/>
          </w:tcPr>
          <w:p w14:paraId="6A9CEE18">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人才开发科</w:t>
            </w:r>
          </w:p>
        </w:tc>
        <w:tc>
          <w:tcPr>
            <w:tcW w:w="1757" w:type="dxa"/>
            <w:shd w:val="clear" w:color="auto" w:fill="auto"/>
            <w:vAlign w:val="center"/>
          </w:tcPr>
          <w:p w14:paraId="5CD40EA5">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0534-2687187</w:t>
            </w:r>
          </w:p>
        </w:tc>
        <w:tc>
          <w:tcPr>
            <w:tcW w:w="2443" w:type="dxa"/>
            <w:shd w:val="clear" w:color="auto" w:fill="auto"/>
            <w:vAlign w:val="center"/>
          </w:tcPr>
          <w:p w14:paraId="2F502A21">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dzrsjrckfk@dz.shandong.cn</w:t>
            </w:r>
          </w:p>
        </w:tc>
      </w:tr>
      <w:tr w14:paraId="1890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2135" w:type="dxa"/>
            <w:vMerge w:val="restart"/>
            <w:vAlign w:val="center"/>
          </w:tcPr>
          <w:p w14:paraId="5CDB7869">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聊城市人力资源和社会保障局</w:t>
            </w:r>
          </w:p>
        </w:tc>
        <w:tc>
          <w:tcPr>
            <w:tcW w:w="3118" w:type="dxa"/>
            <w:vAlign w:val="center"/>
          </w:tcPr>
          <w:p w14:paraId="44F81620">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（博士生活补助）市公共就业和人才服务中心高层次人才服务科</w:t>
            </w:r>
          </w:p>
        </w:tc>
        <w:tc>
          <w:tcPr>
            <w:tcW w:w="1757" w:type="dxa"/>
            <w:vAlign w:val="center"/>
          </w:tcPr>
          <w:p w14:paraId="746B6CE0">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0635-8213519</w:t>
            </w:r>
          </w:p>
        </w:tc>
        <w:tc>
          <w:tcPr>
            <w:tcW w:w="2443" w:type="dxa"/>
            <w:vAlign w:val="center"/>
          </w:tcPr>
          <w:p w14:paraId="61B7E7A3">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sjyrczxgccrck@lc.shandong.cn</w:t>
            </w:r>
          </w:p>
        </w:tc>
      </w:tr>
      <w:tr w14:paraId="36CC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vMerge w:val="continue"/>
            <w:vAlign w:val="center"/>
          </w:tcPr>
          <w:p w14:paraId="1BAC4177">
            <w:pPr>
              <w:spacing w:line="400" w:lineRule="exact"/>
              <w:jc w:val="center"/>
              <w:rPr>
                <w:rFonts w:asciiTheme="minorEastAsia" w:hAnsiTheme="minorEastAsia" w:cstheme="minorEastAsia"/>
                <w:color w:val="auto"/>
                <w:sz w:val="24"/>
              </w:rPr>
            </w:pPr>
          </w:p>
        </w:tc>
        <w:tc>
          <w:tcPr>
            <w:tcW w:w="3118" w:type="dxa"/>
            <w:shd w:val="clear" w:color="auto" w:fill="auto"/>
            <w:vAlign w:val="center"/>
          </w:tcPr>
          <w:p w14:paraId="3ABCDA31">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（博士后生活补助）人才开发科</w:t>
            </w:r>
          </w:p>
        </w:tc>
        <w:tc>
          <w:tcPr>
            <w:tcW w:w="1757" w:type="dxa"/>
            <w:shd w:val="clear" w:color="auto" w:fill="auto"/>
            <w:vAlign w:val="center"/>
          </w:tcPr>
          <w:p w14:paraId="0F0C1BFF">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0635-2189150</w:t>
            </w:r>
          </w:p>
        </w:tc>
        <w:tc>
          <w:tcPr>
            <w:tcW w:w="2443" w:type="dxa"/>
            <w:shd w:val="clear" w:color="auto" w:fill="auto"/>
            <w:vAlign w:val="center"/>
          </w:tcPr>
          <w:p w14:paraId="6B17259F">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lcs_rsjrytpk@lc.shandong.cn</w:t>
            </w:r>
          </w:p>
        </w:tc>
      </w:tr>
      <w:tr w14:paraId="0152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exact"/>
          <w:jc w:val="center"/>
        </w:trPr>
        <w:tc>
          <w:tcPr>
            <w:tcW w:w="2135" w:type="dxa"/>
            <w:shd w:val="clear" w:color="auto" w:fill="auto"/>
            <w:vAlign w:val="center"/>
          </w:tcPr>
          <w:p w14:paraId="02E41352">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滨州市人力资源和社会保障局</w:t>
            </w:r>
          </w:p>
        </w:tc>
        <w:tc>
          <w:tcPr>
            <w:tcW w:w="3118" w:type="dxa"/>
            <w:shd w:val="clear" w:color="auto" w:fill="auto"/>
            <w:vAlign w:val="center"/>
          </w:tcPr>
          <w:p w14:paraId="00164BF3">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人才开发与人力资源流动科</w:t>
            </w:r>
          </w:p>
        </w:tc>
        <w:tc>
          <w:tcPr>
            <w:tcW w:w="1757" w:type="dxa"/>
            <w:shd w:val="clear" w:color="auto" w:fill="auto"/>
            <w:vAlign w:val="center"/>
          </w:tcPr>
          <w:p w14:paraId="71CE26F1">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0543-8173027</w:t>
            </w:r>
          </w:p>
        </w:tc>
        <w:tc>
          <w:tcPr>
            <w:tcW w:w="2443" w:type="dxa"/>
            <w:shd w:val="clear" w:color="auto" w:fill="auto"/>
            <w:vAlign w:val="center"/>
          </w:tcPr>
          <w:p w14:paraId="61B0298A">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bzsrsjrckfk@163.com</w:t>
            </w:r>
          </w:p>
        </w:tc>
      </w:tr>
      <w:tr w14:paraId="6FFEF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shd w:val="clear" w:color="auto" w:fill="auto"/>
            <w:vAlign w:val="center"/>
          </w:tcPr>
          <w:p w14:paraId="40C37CCF">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菏泽市人力资源和社会保障局</w:t>
            </w:r>
          </w:p>
        </w:tc>
        <w:tc>
          <w:tcPr>
            <w:tcW w:w="3118" w:type="dxa"/>
            <w:shd w:val="clear" w:color="auto" w:fill="auto"/>
            <w:vAlign w:val="center"/>
          </w:tcPr>
          <w:p w14:paraId="0160344B">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人才开发与人力资源流动管理科</w:t>
            </w:r>
          </w:p>
        </w:tc>
        <w:tc>
          <w:tcPr>
            <w:tcW w:w="1757" w:type="dxa"/>
            <w:shd w:val="clear" w:color="auto" w:fill="auto"/>
            <w:vAlign w:val="center"/>
          </w:tcPr>
          <w:p w14:paraId="38F7E642">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0530-5160080</w:t>
            </w:r>
          </w:p>
        </w:tc>
        <w:tc>
          <w:tcPr>
            <w:tcW w:w="2443" w:type="dxa"/>
            <w:shd w:val="clear" w:color="auto" w:fill="auto"/>
            <w:vAlign w:val="center"/>
          </w:tcPr>
          <w:p w14:paraId="7C6EFBFE">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rsjrckfk@hz.shandong.cn</w:t>
            </w:r>
          </w:p>
        </w:tc>
      </w:tr>
    </w:tbl>
    <w:p w14:paraId="37C5F0FC">
      <w:pPr>
        <w:pStyle w:val="11"/>
        <w:spacing w:after="0" w:line="240" w:lineRule="exact"/>
        <w:jc w:val="left"/>
        <w:rPr>
          <w:rFonts w:ascii="Times New Roman" w:hAnsi="Times New Roman" w:cs="Times New Roman"/>
          <w:color w:val="auto"/>
          <w:kern w:val="0"/>
          <w:sz w:val="22"/>
          <w:szCs w:val="22"/>
          <w:lang w:bidi="ar"/>
        </w:rPr>
      </w:pPr>
      <w:r>
        <w:rPr>
          <w:rFonts w:ascii="Times New Roman" w:hAnsi="Times New Roman" w:cs="Times New Roman"/>
          <w:color w:val="auto"/>
          <w:kern w:val="0"/>
          <w:sz w:val="22"/>
          <w:szCs w:val="22"/>
          <w:lang w:bidi="ar"/>
        </w:rPr>
        <w:fldChar w:fldCharType="end"/>
      </w:r>
    </w:p>
    <w:p w14:paraId="53DE68D6">
      <w:pPr>
        <w:rPr>
          <w:rFonts w:ascii="Times New Roman" w:hAnsi="Times New Roman" w:cs="Times New Roman"/>
          <w:color w:val="auto"/>
          <w:kern w:val="0"/>
          <w:sz w:val="22"/>
          <w:szCs w:val="22"/>
          <w:lang w:bidi="ar"/>
        </w:rPr>
      </w:pPr>
    </w:p>
    <w:p w14:paraId="15620877">
      <w:pPr>
        <w:pStyle w:val="14"/>
        <w:ind w:firstLine="632"/>
        <w:rPr>
          <w:color w:val="auto"/>
        </w:rPr>
      </w:pPr>
    </w:p>
    <w:p w14:paraId="425152AF">
      <w:bookmarkStart w:id="6" w:name="_GoBack"/>
      <w:bookmarkEnd w:id="6"/>
    </w:p>
    <w:sectPr>
      <w:footerReference r:id="rId4" w:type="first"/>
      <w:footerReference r:id="rId3" w:type="default"/>
      <w:pgSz w:w="11906" w:h="16838"/>
      <w:pgMar w:top="2098" w:right="1531" w:bottom="1814" w:left="1531" w:header="851" w:footer="1587" w:gutter="0"/>
      <w:cols w:space="0" w:num="1"/>
      <w:titlePg/>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CEA90">
    <w:pPr>
      <w:pStyle w:val="1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FA6CA0">
                          <w:pPr>
                            <w:snapToGrid w:val="0"/>
                            <w:ind w:left="320" w:leftChars="100" w:right="320" w:rightChars="100"/>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4</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BFA6CA0">
                    <w:pPr>
                      <w:snapToGrid w:val="0"/>
                      <w:ind w:left="320" w:leftChars="100" w:right="320" w:rightChars="100"/>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4</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634F8">
    <w:pPr>
      <w:pStyle w:val="13"/>
      <w:jc w:val="both"/>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5AC298"/>
    <w:multiLevelType w:val="multilevel"/>
    <w:tmpl w:val="B35AC298"/>
    <w:lvl w:ilvl="0" w:tentative="0">
      <w:start w:val="1"/>
      <w:numFmt w:val="chineseCountingThousand"/>
      <w:lvlText w:val="第%1章"/>
      <w:lvlJc w:val="center"/>
      <w:pPr>
        <w:ind w:left="284" w:hanging="284"/>
      </w:pPr>
      <w:rPr>
        <w:rFonts w:hint="eastAsia" w:ascii="黑体" w:hAnsi="黑体" w:eastAsia="黑体" w:cs="黑体"/>
        <w:b w:val="0"/>
        <w:i w:val="0"/>
        <w:sz w:val="32"/>
        <w:szCs w:val="32"/>
      </w:rPr>
    </w:lvl>
    <w:lvl w:ilvl="1" w:tentative="0">
      <w:start w:val="1"/>
      <w:numFmt w:val="chineseCountingThousand"/>
      <w:isLgl/>
      <w:suff w:val="space"/>
      <w:lvlText w:val="%1.%2"/>
      <w:lvlJc w:val="left"/>
      <w:pPr>
        <w:ind w:left="568" w:hanging="568"/>
      </w:pPr>
      <w:rPr>
        <w:rFonts w:hint="eastAsia" w:ascii="楷体" w:hAnsi="楷体" w:eastAsia="楷体" w:cs="楷体"/>
        <w:b w:val="0"/>
        <w:i w:val="0"/>
        <w:sz w:val="32"/>
      </w:rPr>
    </w:lvl>
    <w:lvl w:ilvl="2" w:tentative="0">
      <w:start w:val="1"/>
      <w:numFmt w:val="decimal"/>
      <w:pStyle w:val="24"/>
      <w:isLgl/>
      <w:suff w:val="space"/>
      <w:lvlText w:val="%1.%2.%3"/>
      <w:lvlJc w:val="left"/>
      <w:pPr>
        <w:ind w:left="426" w:hanging="284"/>
      </w:pPr>
      <w:rPr>
        <w:rFonts w:hint="eastAsia" w:ascii="方正仿宋_GB2312" w:hAnsi="方正仿宋_GB2312" w:eastAsia="方正仿宋_GB2312" w:cs="Times New Roman"/>
        <w:b w:val="0"/>
        <w:bCs w:val="0"/>
        <w:i w:val="0"/>
        <w:iCs w:val="0"/>
        <w:caps w:val="0"/>
        <w:smallCaps w:val="0"/>
        <w:strike w:val="0"/>
        <w:dstrike w:val="0"/>
        <w:vanish w:val="0"/>
        <w:color w:val="000000"/>
        <w:spacing w:val="0"/>
        <w:position w:val="0"/>
        <w:sz w:val="32"/>
        <w:szCs w:val="32"/>
        <w:u w:val="none"/>
        <w:vertAlign w:val="baseline"/>
        <w14:shadow w14:blurRad="0" w14:dist="0" w14:dir="0" w14:sx="0" w14:sy="0" w14:kx="0" w14:ky="0" w14:algn="none">
          <w14:srgbClr w14:val="000000"/>
        </w14:shadow>
      </w:rPr>
    </w:lvl>
    <w:lvl w:ilvl="3" w:tentative="0">
      <w:start w:val="1"/>
      <w:numFmt w:val="decimal"/>
      <w:isLgl/>
      <w:suff w:val="space"/>
      <w:lvlText w:val="%1.%2.%3.%4"/>
      <w:lvlJc w:val="left"/>
      <w:pPr>
        <w:ind w:left="1004" w:hanging="284"/>
      </w:pPr>
      <w:rPr>
        <w:rFonts w:hint="eastAsia" w:ascii="方正仿宋_GB2312" w:hAnsi="方正仿宋_GB2312" w:eastAsia="方正仿宋_GB2312" w:cs="Times New Roman"/>
        <w:b w:val="0"/>
        <w:i w:val="0"/>
        <w:sz w:val="32"/>
        <w:szCs w:val="32"/>
      </w:rPr>
    </w:lvl>
    <w:lvl w:ilvl="4" w:tentative="0">
      <w:start w:val="1"/>
      <w:numFmt w:val="decimal"/>
      <w:isLgl/>
      <w:suff w:val="space"/>
      <w:lvlText w:val="%1.%2.%3.%4.%5"/>
      <w:lvlJc w:val="left"/>
      <w:pPr>
        <w:ind w:left="284" w:hanging="284"/>
      </w:pPr>
      <w:rPr>
        <w:rFonts w:hint="eastAsia" w:eastAsia="宋体"/>
        <w:b w:val="0"/>
        <w:i w:val="0"/>
        <w:sz w:val="24"/>
        <w:szCs w:val="24"/>
      </w:rPr>
    </w:lvl>
    <w:lvl w:ilvl="5" w:tentative="0">
      <w:start w:val="1"/>
      <w:numFmt w:val="decimal"/>
      <w:isLgl/>
      <w:suff w:val="space"/>
      <w:lvlText w:val="%1.%2.%3.%4.%5.%6"/>
      <w:lvlJc w:val="left"/>
      <w:pPr>
        <w:ind w:left="284" w:hanging="284"/>
      </w:pPr>
      <w:rPr>
        <w:rFonts w:hint="eastAsia" w:eastAsia="宋体"/>
        <w:b w:val="0"/>
        <w:i w:val="0"/>
        <w:sz w:val="24"/>
      </w:rPr>
    </w:lvl>
    <w:lvl w:ilvl="6" w:tentative="0">
      <w:start w:val="1"/>
      <w:numFmt w:val="decimal"/>
      <w:isLgl/>
      <w:suff w:val="space"/>
      <w:lvlText w:val="%1.%2.%3.%4.%5.%6.%7"/>
      <w:lvlJc w:val="left"/>
      <w:pPr>
        <w:ind w:left="284" w:hanging="284"/>
      </w:pPr>
      <w:rPr>
        <w:rFonts w:hint="eastAsia"/>
      </w:rPr>
    </w:lvl>
    <w:lvl w:ilvl="7" w:tentative="0">
      <w:start w:val="1"/>
      <w:numFmt w:val="decimal"/>
      <w:isLgl/>
      <w:suff w:val="space"/>
      <w:lvlText w:val="%1.%2.%3.%4.%5.%6.%7.%8"/>
      <w:lvlJc w:val="left"/>
      <w:pPr>
        <w:ind w:left="284" w:hanging="284"/>
      </w:pPr>
      <w:rPr>
        <w:rFonts w:hint="eastAsia"/>
      </w:rPr>
    </w:lvl>
    <w:lvl w:ilvl="8" w:tentative="0">
      <w:start w:val="1"/>
      <w:numFmt w:val="decimal"/>
      <w:isLgl/>
      <w:suff w:val="space"/>
      <w:lvlText w:val="%1.%2.%3.%4.%5.%6.%7.%8.%9"/>
      <w:lvlJc w:val="left"/>
      <w:pPr>
        <w:ind w:left="284" w:hanging="284"/>
      </w:pPr>
      <w:rPr>
        <w:rFonts w:hint="eastAsia"/>
      </w:rPr>
    </w:lvl>
  </w:abstractNum>
  <w:abstractNum w:abstractNumId="1">
    <w:nsid w:val="E7692A84"/>
    <w:multiLevelType w:val="singleLevel"/>
    <w:tmpl w:val="E7692A84"/>
    <w:lvl w:ilvl="0" w:tentative="0">
      <w:start w:val="1"/>
      <w:numFmt w:val="chineseCounting"/>
      <w:suff w:val="nothing"/>
      <w:lvlText w:val="（%1）"/>
      <w:lvlJc w:val="left"/>
      <w:rPr>
        <w:rFonts w:hint="eastAsia"/>
      </w:rPr>
    </w:lvl>
  </w:abstractNum>
  <w:abstractNum w:abstractNumId="2">
    <w:nsid w:val="E7B62BAC"/>
    <w:multiLevelType w:val="singleLevel"/>
    <w:tmpl w:val="E7B62BAC"/>
    <w:lvl w:ilvl="0" w:tentative="0">
      <w:start w:val="1"/>
      <w:numFmt w:val="chineseCounting"/>
      <w:pStyle w:val="20"/>
      <w:suff w:val="nothing"/>
      <w:lvlText w:val="%1、"/>
      <w:lvlJc w:val="left"/>
      <w:pPr>
        <w:ind w:left="0" w:firstLine="420"/>
      </w:pPr>
      <w:rPr>
        <w:rFonts w:hint="eastAsia"/>
      </w:rPr>
    </w:lvl>
  </w:abstractNum>
  <w:abstractNum w:abstractNumId="3">
    <w:nsid w:val="00000000"/>
    <w:multiLevelType w:val="multilevel"/>
    <w:tmpl w:val="00000000"/>
    <w:lvl w:ilvl="0" w:tentative="0">
      <w:start w:val="1"/>
      <w:numFmt w:val="decimal"/>
      <w:pStyle w:val="27"/>
      <w:lvlText w:val="%1."/>
      <w:lvlJc w:val="left"/>
      <w:pPr>
        <w:tabs>
          <w:tab w:val="left" w:pos="1620"/>
        </w:tabs>
        <w:ind w:left="16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2AC21026"/>
    <w:multiLevelType w:val="multilevel"/>
    <w:tmpl w:val="2AC21026"/>
    <w:lvl w:ilvl="0" w:tentative="0">
      <w:start w:val="1"/>
      <w:numFmt w:val="decimal"/>
      <w:lvlText w:val="%1."/>
      <w:lvlJc w:val="left"/>
      <w:pPr>
        <w:tabs>
          <w:tab w:val="left" w:pos="425"/>
        </w:tabs>
        <w:ind w:left="425" w:hanging="425"/>
      </w:pPr>
      <w:rPr>
        <w:rFonts w:hint="eastAsia"/>
      </w:rPr>
    </w:lvl>
    <w:lvl w:ilvl="1" w:tentative="0">
      <w:start w:val="1"/>
      <w:numFmt w:val="decimal"/>
      <w:pStyle w:val="35"/>
      <w:lvlText w:val="%1.%2."/>
      <w:lvlJc w:val="left"/>
      <w:pPr>
        <w:tabs>
          <w:tab w:val="left" w:pos="567"/>
        </w:tabs>
        <w:ind w:left="567" w:hanging="567"/>
      </w:pPr>
      <w:rPr>
        <w:rFonts w:hint="eastAsia"/>
      </w:rPr>
    </w:lvl>
    <w:lvl w:ilvl="2" w:tentative="0">
      <w:start w:val="1"/>
      <w:numFmt w:val="decimal"/>
      <w:pStyle w:val="36"/>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696BB095"/>
    <w:multiLevelType w:val="multilevel"/>
    <w:tmpl w:val="696BB095"/>
    <w:lvl w:ilvl="0" w:tentative="0">
      <w:start w:val="1"/>
      <w:numFmt w:val="chineseCounting"/>
      <w:suff w:val="nothing"/>
      <w:lvlText w:val="（%1）"/>
      <w:lvlJc w:val="left"/>
      <w:pPr>
        <w:ind w:left="0" w:firstLine="420"/>
      </w:pPr>
      <w:rPr>
        <w:rFonts w:hint="eastAsia"/>
      </w:rPr>
    </w:lvl>
    <w:lvl w:ilvl="1" w:tentative="0">
      <w:start w:val="1"/>
      <w:numFmt w:val="decimal"/>
      <w:pStyle w:val="23"/>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6">
    <w:nsid w:val="71702EF8"/>
    <w:multiLevelType w:val="multilevel"/>
    <w:tmpl w:val="71702EF8"/>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6"/>
  </w:num>
  <w:num w:numId="2">
    <w:abstractNumId w:val="2"/>
  </w:num>
  <w:num w:numId="3">
    <w:abstractNumId w:val="5"/>
  </w:num>
  <w:num w:numId="4">
    <w:abstractNumId w:val="0"/>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E001E7"/>
    <w:rsid w:val="009C06CB"/>
    <w:rsid w:val="00F902A5"/>
    <w:rsid w:val="018A79CF"/>
    <w:rsid w:val="01C32272"/>
    <w:rsid w:val="031B6DD5"/>
    <w:rsid w:val="03863B8D"/>
    <w:rsid w:val="04905294"/>
    <w:rsid w:val="04D6145B"/>
    <w:rsid w:val="065C4444"/>
    <w:rsid w:val="06644673"/>
    <w:rsid w:val="06780FCE"/>
    <w:rsid w:val="06C61153"/>
    <w:rsid w:val="0729554C"/>
    <w:rsid w:val="076562D9"/>
    <w:rsid w:val="09100573"/>
    <w:rsid w:val="09722ECD"/>
    <w:rsid w:val="09AC0DF5"/>
    <w:rsid w:val="09F2515E"/>
    <w:rsid w:val="0A1C108A"/>
    <w:rsid w:val="0A2552B4"/>
    <w:rsid w:val="0B0E73C3"/>
    <w:rsid w:val="0B58035E"/>
    <w:rsid w:val="0BC7297B"/>
    <w:rsid w:val="0C4B1CE3"/>
    <w:rsid w:val="0DE001E7"/>
    <w:rsid w:val="0E697F75"/>
    <w:rsid w:val="0E9A5BA6"/>
    <w:rsid w:val="0EF91C69"/>
    <w:rsid w:val="0F26749E"/>
    <w:rsid w:val="103241E0"/>
    <w:rsid w:val="12081E8A"/>
    <w:rsid w:val="14C56DE1"/>
    <w:rsid w:val="14E426FB"/>
    <w:rsid w:val="15E139C6"/>
    <w:rsid w:val="15E1484A"/>
    <w:rsid w:val="162416A1"/>
    <w:rsid w:val="1711243B"/>
    <w:rsid w:val="1724189B"/>
    <w:rsid w:val="17A20BF0"/>
    <w:rsid w:val="186D1212"/>
    <w:rsid w:val="195922D1"/>
    <w:rsid w:val="197C453B"/>
    <w:rsid w:val="19D1065C"/>
    <w:rsid w:val="1A975A4B"/>
    <w:rsid w:val="1C013FB4"/>
    <w:rsid w:val="1CBA06A7"/>
    <w:rsid w:val="1D0D6859"/>
    <w:rsid w:val="1D846347"/>
    <w:rsid w:val="1D9E4AEF"/>
    <w:rsid w:val="1EB81009"/>
    <w:rsid w:val="1F897F14"/>
    <w:rsid w:val="1FB0078D"/>
    <w:rsid w:val="2097041C"/>
    <w:rsid w:val="20F65C66"/>
    <w:rsid w:val="229F4AC7"/>
    <w:rsid w:val="23072480"/>
    <w:rsid w:val="23BC08D2"/>
    <w:rsid w:val="23E67C3E"/>
    <w:rsid w:val="26881B2A"/>
    <w:rsid w:val="27387419"/>
    <w:rsid w:val="27534C35"/>
    <w:rsid w:val="27E16954"/>
    <w:rsid w:val="28933B58"/>
    <w:rsid w:val="28C6221F"/>
    <w:rsid w:val="29235B3A"/>
    <w:rsid w:val="2A750DFB"/>
    <w:rsid w:val="2B373777"/>
    <w:rsid w:val="2BD15E0E"/>
    <w:rsid w:val="2E163EBF"/>
    <w:rsid w:val="2E3C7AF8"/>
    <w:rsid w:val="2E415A38"/>
    <w:rsid w:val="304C43A7"/>
    <w:rsid w:val="308E3936"/>
    <w:rsid w:val="311E57A3"/>
    <w:rsid w:val="3381052B"/>
    <w:rsid w:val="33AD2BD0"/>
    <w:rsid w:val="34A0524C"/>
    <w:rsid w:val="34CD2830"/>
    <w:rsid w:val="35E14AA9"/>
    <w:rsid w:val="3664125F"/>
    <w:rsid w:val="368C042F"/>
    <w:rsid w:val="36B461AB"/>
    <w:rsid w:val="38E111DB"/>
    <w:rsid w:val="39007D65"/>
    <w:rsid w:val="39BB7D0D"/>
    <w:rsid w:val="3B196A6A"/>
    <w:rsid w:val="3B8D4795"/>
    <w:rsid w:val="3D473D67"/>
    <w:rsid w:val="3DB82EAE"/>
    <w:rsid w:val="3E367929"/>
    <w:rsid w:val="3EA364AA"/>
    <w:rsid w:val="41000AA0"/>
    <w:rsid w:val="412C1F7C"/>
    <w:rsid w:val="42D7643D"/>
    <w:rsid w:val="43914619"/>
    <w:rsid w:val="43BB4117"/>
    <w:rsid w:val="43F91594"/>
    <w:rsid w:val="44F25523"/>
    <w:rsid w:val="45601543"/>
    <w:rsid w:val="456168E3"/>
    <w:rsid w:val="460573F1"/>
    <w:rsid w:val="46EB449C"/>
    <w:rsid w:val="4765466F"/>
    <w:rsid w:val="4AF70DDD"/>
    <w:rsid w:val="4C31571C"/>
    <w:rsid w:val="4CC631CB"/>
    <w:rsid w:val="4E547B90"/>
    <w:rsid w:val="505A53D8"/>
    <w:rsid w:val="510319F7"/>
    <w:rsid w:val="526D0FC9"/>
    <w:rsid w:val="53146370"/>
    <w:rsid w:val="533019A0"/>
    <w:rsid w:val="536F55B6"/>
    <w:rsid w:val="543470AC"/>
    <w:rsid w:val="54701350"/>
    <w:rsid w:val="547D16F4"/>
    <w:rsid w:val="552820F9"/>
    <w:rsid w:val="55AF0C17"/>
    <w:rsid w:val="56992E7A"/>
    <w:rsid w:val="57267B87"/>
    <w:rsid w:val="57454278"/>
    <w:rsid w:val="57A9306C"/>
    <w:rsid w:val="58F16C7A"/>
    <w:rsid w:val="595D0E79"/>
    <w:rsid w:val="59BE701D"/>
    <w:rsid w:val="5A65572D"/>
    <w:rsid w:val="5C3067EA"/>
    <w:rsid w:val="5C5B5C22"/>
    <w:rsid w:val="60B665BB"/>
    <w:rsid w:val="61323F23"/>
    <w:rsid w:val="61413ACC"/>
    <w:rsid w:val="616E7E64"/>
    <w:rsid w:val="61B4637B"/>
    <w:rsid w:val="62F10CDE"/>
    <w:rsid w:val="63122716"/>
    <w:rsid w:val="63311477"/>
    <w:rsid w:val="637309CB"/>
    <w:rsid w:val="639D799F"/>
    <w:rsid w:val="63C540E2"/>
    <w:rsid w:val="63D130E5"/>
    <w:rsid w:val="64B855CB"/>
    <w:rsid w:val="65DF4E54"/>
    <w:rsid w:val="65E903C3"/>
    <w:rsid w:val="662B29CB"/>
    <w:rsid w:val="668B6D1C"/>
    <w:rsid w:val="6887333D"/>
    <w:rsid w:val="68D029E5"/>
    <w:rsid w:val="690F779A"/>
    <w:rsid w:val="6945533E"/>
    <w:rsid w:val="6B180FB1"/>
    <w:rsid w:val="6C4B4758"/>
    <w:rsid w:val="6CAB2A80"/>
    <w:rsid w:val="6CD24D1C"/>
    <w:rsid w:val="6FCC143F"/>
    <w:rsid w:val="70D24CB2"/>
    <w:rsid w:val="71004B9E"/>
    <w:rsid w:val="71441982"/>
    <w:rsid w:val="719135DB"/>
    <w:rsid w:val="72AE7B8D"/>
    <w:rsid w:val="737C3E29"/>
    <w:rsid w:val="73872B87"/>
    <w:rsid w:val="739B0170"/>
    <w:rsid w:val="74F76C10"/>
    <w:rsid w:val="76567E1C"/>
    <w:rsid w:val="76691158"/>
    <w:rsid w:val="77234781"/>
    <w:rsid w:val="774626EC"/>
    <w:rsid w:val="783411D8"/>
    <w:rsid w:val="7A9C0875"/>
    <w:rsid w:val="7AC65214"/>
    <w:rsid w:val="7B0A7F12"/>
    <w:rsid w:val="7D0139C4"/>
    <w:rsid w:val="7D893E3F"/>
    <w:rsid w:val="7DC607DF"/>
    <w:rsid w:val="7E3C7FA1"/>
    <w:rsid w:val="7E4056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32"/>
      <w:szCs w:val="24"/>
      <w:lang w:val="en-US" w:eastAsia="zh-CN" w:bidi="ar-SA"/>
    </w:rPr>
  </w:style>
  <w:style w:type="paragraph" w:styleId="3">
    <w:name w:val="heading 1"/>
    <w:basedOn w:val="1"/>
    <w:next w:val="1"/>
    <w:link w:val="28"/>
    <w:qFormat/>
    <w:uiPriority w:val="9"/>
    <w:pPr>
      <w:keepNext/>
      <w:keepLines/>
      <w:spacing w:before="340" w:after="330" w:line="240" w:lineRule="auto"/>
      <w:outlineLvl w:val="0"/>
    </w:pPr>
    <w:rPr>
      <w:rFonts w:ascii="Calibri" w:hAnsi="Calibri" w:eastAsia="黑体" w:cs="Times New Roman"/>
      <w:kern w:val="44"/>
      <w:sz w:val="32"/>
      <w:szCs w:val="24"/>
    </w:rPr>
  </w:style>
  <w:style w:type="paragraph" w:styleId="4">
    <w:name w:val="heading 2"/>
    <w:basedOn w:val="1"/>
    <w:next w:val="1"/>
    <w:link w:val="30"/>
    <w:semiHidden/>
    <w:unhideWhenUsed/>
    <w:qFormat/>
    <w:uiPriority w:val="0"/>
    <w:pPr>
      <w:keepNext/>
      <w:keepLines/>
      <w:tabs>
        <w:tab w:val="left" w:pos="294"/>
      </w:tabs>
      <w:spacing w:before="140" w:after="140" w:line="240" w:lineRule="auto"/>
      <w:ind w:right="210" w:rightChars="100"/>
      <w:jc w:val="left"/>
      <w:outlineLvl w:val="1"/>
    </w:pPr>
    <w:rPr>
      <w:rFonts w:ascii="Arial" w:hAnsi="Arial" w:eastAsia="楷体" w:cs="Times New Roman"/>
      <w:sz w:val="32"/>
      <w:szCs w:val="24"/>
    </w:rPr>
  </w:style>
  <w:style w:type="paragraph" w:styleId="2">
    <w:name w:val="heading 3"/>
    <w:basedOn w:val="1"/>
    <w:next w:val="1"/>
    <w:link w:val="31"/>
    <w:semiHidden/>
    <w:unhideWhenUsed/>
    <w:qFormat/>
    <w:uiPriority w:val="0"/>
    <w:pPr>
      <w:keepNext/>
      <w:keepLines/>
      <w:spacing w:before="260" w:after="260" w:line="240" w:lineRule="auto"/>
      <w:jc w:val="left"/>
      <w:outlineLvl w:val="2"/>
    </w:pPr>
    <w:rPr>
      <w:rFonts w:ascii="Calibri" w:hAnsi="Calibri" w:eastAsia="仿宋" w:cs="Times New Roman"/>
      <w:sz w:val="32"/>
      <w:szCs w:val="24"/>
    </w:rPr>
  </w:style>
  <w:style w:type="paragraph" w:styleId="5">
    <w:name w:val="heading 4"/>
    <w:basedOn w:val="1"/>
    <w:next w:val="1"/>
    <w:link w:val="32"/>
    <w:semiHidden/>
    <w:unhideWhenUsed/>
    <w:qFormat/>
    <w:uiPriority w:val="0"/>
    <w:pPr>
      <w:keepNext/>
      <w:keepLines/>
      <w:numPr>
        <w:ilvl w:val="3"/>
        <w:numId w:val="1"/>
      </w:numPr>
      <w:tabs>
        <w:tab w:val="left" w:pos="864"/>
      </w:tabs>
      <w:spacing w:before="280" w:after="290" w:line="240" w:lineRule="auto"/>
      <w:ind w:left="0" w:firstLine="402"/>
      <w:outlineLvl w:val="3"/>
    </w:pPr>
    <w:rPr>
      <w:rFonts w:ascii="Arial" w:hAnsi="Arial" w:eastAsia="仿宋" w:cs="Times New Roman"/>
      <w:bCs/>
      <w:sz w:val="32"/>
      <w:szCs w:val="28"/>
    </w:rPr>
  </w:style>
  <w:style w:type="paragraph" w:styleId="6">
    <w:name w:val="heading 5"/>
    <w:basedOn w:val="1"/>
    <w:next w:val="1"/>
    <w:link w:val="37"/>
    <w:semiHidden/>
    <w:unhideWhenUsed/>
    <w:qFormat/>
    <w:uiPriority w:val="0"/>
    <w:pPr>
      <w:keepNext/>
      <w:keepLines/>
      <w:numPr>
        <w:ilvl w:val="4"/>
        <w:numId w:val="1"/>
      </w:numPr>
      <w:spacing w:before="280" w:after="290" w:line="240" w:lineRule="auto"/>
      <w:ind w:firstLine="402" w:firstLineChars="0"/>
      <w:outlineLvl w:val="4"/>
    </w:pPr>
    <w:rPr>
      <w:rFonts w:ascii="Calibri" w:hAnsi="Calibri" w:eastAsia="仿宋" w:cs="Times New Roman"/>
      <w:bCs/>
      <w:sz w:val="32"/>
      <w:szCs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240" w:lineRule="auto"/>
      <w:ind w:left="0" w:firstLine="402" w:firstLineChars="0"/>
      <w:outlineLvl w:val="5"/>
    </w:pPr>
    <w:rPr>
      <w:rFonts w:ascii="Arial" w:hAnsi="Arial" w:eastAsia="仿宋"/>
      <w:sz w:val="32"/>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402"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402"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402" w:firstLineChars="0"/>
      <w:outlineLvl w:val="8"/>
    </w:pPr>
    <w:rPr>
      <w:rFonts w:ascii="Arial" w:hAnsi="Arial" w:eastAsia="黑体"/>
      <w:sz w:val="21"/>
    </w:rPr>
  </w:style>
  <w:style w:type="character" w:default="1" w:styleId="17">
    <w:name w:val="Default Paragraph Font"/>
    <w:semiHidden/>
    <w:unhideWhenUsed/>
    <w:qFormat/>
    <w:uiPriority w:val="1"/>
  </w:style>
  <w:style w:type="table" w:default="1" w:styleId="15">
    <w:name w:val="Normal Table"/>
    <w:semiHidden/>
    <w:qFormat/>
    <w:uiPriority w:val="0"/>
    <w:tblPr>
      <w:tblCellMar>
        <w:top w:w="0" w:type="dxa"/>
        <w:left w:w="108" w:type="dxa"/>
        <w:bottom w:w="0" w:type="dxa"/>
        <w:right w:w="108" w:type="dxa"/>
      </w:tblCellMar>
    </w:tblPr>
  </w:style>
  <w:style w:type="paragraph" w:styleId="11">
    <w:name w:val="Body Text"/>
    <w:basedOn w:val="1"/>
    <w:link w:val="29"/>
    <w:qFormat/>
    <w:uiPriority w:val="0"/>
    <w:pPr>
      <w:spacing w:after="120"/>
      <w:ind w:firstLine="880" w:firstLineChars="200"/>
    </w:pPr>
    <w:rPr>
      <w:rFonts w:ascii="Calibri" w:hAnsi="Calibri" w:eastAsia="仿宋"/>
      <w:sz w:val="32"/>
      <w:szCs w:val="24"/>
    </w:rPr>
  </w:style>
  <w:style w:type="paragraph" w:styleId="12">
    <w:name w:val="Balloon Text"/>
    <w:basedOn w:val="1"/>
    <w:qFormat/>
    <w:uiPriority w:val="0"/>
    <w:rPr>
      <w:sz w:val="18"/>
    </w:r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Body Text First Indent"/>
    <w:qFormat/>
    <w:uiPriority w:val="0"/>
    <w:pPr>
      <w:widowControl w:val="0"/>
      <w:spacing w:after="120" w:line="560" w:lineRule="exact"/>
      <w:ind w:firstLine="880" w:firstLineChars="200"/>
      <w:jc w:val="both"/>
    </w:pPr>
    <w:rPr>
      <w:rFonts w:ascii="Calibri" w:hAnsi="Calibri" w:eastAsia="仿宋_GB2312" w:cs="Times New Roman"/>
      <w:color w:val="000000"/>
      <w:kern w:val="2"/>
      <w:sz w:val="32"/>
      <w:szCs w:val="22"/>
      <w:lang w:val="en-US" w:eastAsia="zh-CN" w:bidi="ar-SA"/>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Hyperlink"/>
    <w:basedOn w:val="17"/>
    <w:qFormat/>
    <w:uiPriority w:val="0"/>
    <w:rPr>
      <w:color w:val="0000FF"/>
      <w:u w:val="single"/>
    </w:rPr>
  </w:style>
  <w:style w:type="paragraph" w:customStyle="1" w:styleId="19">
    <w:name w:val="图表"/>
    <w:basedOn w:val="1"/>
    <w:qFormat/>
    <w:uiPriority w:val="0"/>
    <w:pPr>
      <w:ind w:firstLine="0" w:firstLineChars="0"/>
      <w:jc w:val="center"/>
    </w:pPr>
    <w:rPr>
      <w:rFonts w:ascii="仿宋" w:hAnsi="仿宋" w:eastAsia="仿宋" w:cs="仿宋"/>
      <w:snapToGrid w:val="0"/>
      <w:color w:val="000000"/>
      <w:kern w:val="0"/>
      <w:sz w:val="28"/>
      <w:szCs w:val="28"/>
      <w:lang w:eastAsia="en-US"/>
    </w:rPr>
  </w:style>
  <w:style w:type="paragraph" w:customStyle="1" w:styleId="20">
    <w:name w:val="标题1"/>
    <w:basedOn w:val="3"/>
    <w:link w:val="21"/>
    <w:qFormat/>
    <w:uiPriority w:val="0"/>
    <w:pPr>
      <w:numPr>
        <w:ilvl w:val="0"/>
        <w:numId w:val="2"/>
      </w:numPr>
      <w:tabs>
        <w:tab w:val="left" w:pos="1620"/>
      </w:tabs>
      <w:spacing w:after="0" w:line="240" w:lineRule="auto"/>
      <w:ind w:firstLine="0"/>
      <w:jc w:val="left"/>
    </w:pPr>
    <w:rPr>
      <w:rFonts w:ascii="Arial" w:hAnsi="Arial" w:eastAsia="黑体" w:cs="Times New Roman"/>
      <w:color w:val="000000" w:themeColor="text1"/>
      <w:sz w:val="32"/>
      <w:lang w:eastAsia="zh-CN"/>
      <w14:textFill>
        <w14:solidFill>
          <w14:schemeClr w14:val="tx1"/>
        </w14:solidFill>
      </w14:textFill>
    </w:rPr>
  </w:style>
  <w:style w:type="character" w:customStyle="1" w:styleId="21">
    <w:name w:val="标题1 字符"/>
    <w:basedOn w:val="22"/>
    <w:link w:val="20"/>
    <w:qFormat/>
    <w:uiPriority w:val="0"/>
    <w:rPr>
      <w:rFonts w:ascii="Arial" w:hAnsi="Arial" w:eastAsia="黑体" w:cs="Times New Roman"/>
      <w:b w:val="0"/>
      <w:color w:val="000000" w:themeColor="text1"/>
      <w:sz w:val="32"/>
      <w:lang w:eastAsia="zh-CN"/>
      <w14:textFill>
        <w14:solidFill>
          <w14:schemeClr w14:val="tx1"/>
        </w14:solidFill>
      </w14:textFill>
    </w:rPr>
  </w:style>
  <w:style w:type="character" w:customStyle="1" w:styleId="22">
    <w:name w:val="标题 1 Char2"/>
    <w:basedOn w:val="17"/>
    <w:link w:val="3"/>
    <w:qFormat/>
    <w:uiPriority w:val="9"/>
    <w:rPr>
      <w:rFonts w:ascii="Arial" w:hAnsi="Arial"/>
      <w:b/>
      <w:color w:val="FF0000"/>
      <w:sz w:val="24"/>
    </w:rPr>
  </w:style>
  <w:style w:type="paragraph" w:customStyle="1" w:styleId="23">
    <w:name w:val="标题2"/>
    <w:basedOn w:val="20"/>
    <w:link w:val="25"/>
    <w:qFormat/>
    <w:uiPriority w:val="0"/>
    <w:pPr>
      <w:numPr>
        <w:ilvl w:val="1"/>
        <w:numId w:val="3"/>
      </w:numPr>
      <w:jc w:val="left"/>
      <w:outlineLvl w:val="1"/>
    </w:pPr>
    <w:rPr>
      <w:rFonts w:eastAsia="楷体"/>
    </w:rPr>
  </w:style>
  <w:style w:type="paragraph" w:customStyle="1" w:styleId="24">
    <w:name w:val="标题3"/>
    <w:basedOn w:val="1"/>
    <w:qFormat/>
    <w:uiPriority w:val="0"/>
    <w:pPr>
      <w:numPr>
        <w:ilvl w:val="2"/>
        <w:numId w:val="4"/>
      </w:numPr>
      <w:ind w:left="426" w:hanging="284" w:firstLineChars="0"/>
    </w:pPr>
    <w:rPr>
      <w:rFonts w:eastAsia="楷体"/>
    </w:rPr>
  </w:style>
  <w:style w:type="character" w:customStyle="1" w:styleId="25">
    <w:name w:val="标题2 字符"/>
    <w:basedOn w:val="26"/>
    <w:link w:val="23"/>
    <w:qFormat/>
    <w:uiPriority w:val="0"/>
    <w:rPr>
      <w:rFonts w:ascii="Arial" w:hAnsi="Arial" w:eastAsia="楷体"/>
      <w:color w:val="000000" w:themeColor="text1"/>
      <w:sz w:val="32"/>
      <w14:textFill>
        <w14:solidFill>
          <w14:schemeClr w14:val="tx1"/>
        </w14:solidFill>
      </w14:textFill>
    </w:rPr>
  </w:style>
  <w:style w:type="character" w:customStyle="1" w:styleId="26">
    <w:name w:val="标题1 字符1"/>
    <w:basedOn w:val="22"/>
    <w:link w:val="27"/>
    <w:qFormat/>
    <w:uiPriority w:val="0"/>
    <w:rPr>
      <w:rFonts w:eastAsia="黑体"/>
      <w:b w:val="0"/>
      <w:color w:val="000000" w:themeColor="text1"/>
      <w:sz w:val="32"/>
      <w14:textFill>
        <w14:solidFill>
          <w14:schemeClr w14:val="tx1"/>
        </w14:solidFill>
      </w14:textFill>
    </w:rPr>
  </w:style>
  <w:style w:type="paragraph" w:customStyle="1" w:styleId="27">
    <w:name w:val="标题11"/>
    <w:basedOn w:val="3"/>
    <w:link w:val="26"/>
    <w:qFormat/>
    <w:uiPriority w:val="0"/>
    <w:pPr>
      <w:numPr>
        <w:ilvl w:val="0"/>
        <w:numId w:val="5"/>
      </w:numPr>
      <w:spacing w:after="0" w:line="240" w:lineRule="auto"/>
      <w:ind w:firstLine="0"/>
      <w:jc w:val="left"/>
    </w:pPr>
    <w:rPr>
      <w:rFonts w:eastAsia="黑体"/>
      <w:color w:val="000000" w:themeColor="text1"/>
      <w:sz w:val="32"/>
      <w14:textFill>
        <w14:solidFill>
          <w14:schemeClr w14:val="tx1"/>
        </w14:solidFill>
      </w14:textFill>
    </w:rPr>
  </w:style>
  <w:style w:type="character" w:customStyle="1" w:styleId="28">
    <w:name w:val="标题 1 Char21"/>
    <w:basedOn w:val="17"/>
    <w:link w:val="3"/>
    <w:qFormat/>
    <w:uiPriority w:val="9"/>
    <w:rPr>
      <w:rFonts w:ascii="Calibri" w:hAnsi="Calibri" w:eastAsia="黑体" w:cs="Times New Roman"/>
      <w:color w:val="000000" w:themeColor="text1"/>
      <w:sz w:val="32"/>
      <w:szCs w:val="24"/>
      <w14:textFill>
        <w14:solidFill>
          <w14:schemeClr w14:val="tx1"/>
        </w14:solidFill>
      </w14:textFill>
    </w:rPr>
  </w:style>
  <w:style w:type="character" w:customStyle="1" w:styleId="29">
    <w:name w:val="正文文本 Char"/>
    <w:link w:val="11"/>
    <w:qFormat/>
    <w:uiPriority w:val="0"/>
    <w:rPr>
      <w:rFonts w:ascii="Calibri" w:hAnsi="Calibri" w:eastAsia="仿宋" w:cs="Times New Roman"/>
      <w:kern w:val="2"/>
      <w:sz w:val="32"/>
      <w:szCs w:val="24"/>
    </w:rPr>
  </w:style>
  <w:style w:type="character" w:customStyle="1" w:styleId="30">
    <w:name w:val="标题 2 字符"/>
    <w:link w:val="4"/>
    <w:semiHidden/>
    <w:qFormat/>
    <w:uiPriority w:val="9"/>
    <w:rPr>
      <w:rFonts w:ascii="Arial" w:hAnsi="Arial" w:eastAsia="楷体" w:cs="Times New Roman"/>
      <w:kern w:val="2"/>
      <w:sz w:val="32"/>
      <w:szCs w:val="24"/>
    </w:rPr>
  </w:style>
  <w:style w:type="character" w:customStyle="1" w:styleId="31">
    <w:name w:val="标题 3 字符"/>
    <w:link w:val="2"/>
    <w:semiHidden/>
    <w:qFormat/>
    <w:uiPriority w:val="9"/>
    <w:rPr>
      <w:rFonts w:ascii="Calibri" w:hAnsi="Calibri" w:eastAsia="仿宋" w:cs="Times New Roman"/>
      <w:kern w:val="2"/>
      <w:sz w:val="32"/>
      <w:szCs w:val="24"/>
    </w:rPr>
  </w:style>
  <w:style w:type="character" w:customStyle="1" w:styleId="32">
    <w:name w:val="标题 4 字符"/>
    <w:basedOn w:val="17"/>
    <w:link w:val="5"/>
    <w:qFormat/>
    <w:uiPriority w:val="0"/>
    <w:rPr>
      <w:rFonts w:ascii="Arial" w:hAnsi="Arial" w:eastAsia="仿宋" w:cs="Times New Roman"/>
      <w:bCs/>
      <w:sz w:val="32"/>
      <w:szCs w:val="28"/>
    </w:rPr>
  </w:style>
  <w:style w:type="paragraph" w:customStyle="1" w:styleId="33">
    <w:name w:val="表内容"/>
    <w:qFormat/>
    <w:uiPriority w:val="0"/>
    <w:rPr>
      <w:rFonts w:ascii="宋体" w:hAnsi="宋体" w:eastAsia="仿宋" w:cs="Times New Roman"/>
      <w:kern w:val="21"/>
      <w:sz w:val="28"/>
      <w:szCs w:val="24"/>
      <w:lang w:val="en-US" w:eastAsia="zh-CN" w:bidi="ar-SA"/>
    </w:rPr>
  </w:style>
  <w:style w:type="paragraph" w:customStyle="1" w:styleId="34">
    <w:name w:val="表格"/>
    <w:basedOn w:val="1"/>
    <w:qFormat/>
    <w:uiPriority w:val="0"/>
    <w:pPr>
      <w:spacing w:after="120" w:line="240" w:lineRule="auto"/>
      <w:ind w:firstLine="0" w:firstLineChars="0"/>
    </w:pPr>
    <w:rPr>
      <w:rFonts w:hint="eastAsia" w:ascii="Times New Roman" w:hAnsi="Times New Roman" w:eastAsia="仿宋" w:cs="Times New Roman"/>
      <w:sz w:val="28"/>
    </w:rPr>
  </w:style>
  <w:style w:type="paragraph" w:customStyle="1" w:styleId="35">
    <w:name w:val="A标题2"/>
    <w:basedOn w:val="1"/>
    <w:qFormat/>
    <w:uiPriority w:val="0"/>
    <w:pPr>
      <w:numPr>
        <w:ilvl w:val="1"/>
        <w:numId w:val="6"/>
      </w:numPr>
      <w:ind w:left="567" w:hanging="567" w:firstLineChars="0"/>
    </w:pPr>
  </w:style>
  <w:style w:type="paragraph" w:customStyle="1" w:styleId="36">
    <w:name w:val="样式 标题 3sect1.2.3Bold HeadbhH3H31H32H33H34H35H36H37H3..."/>
    <w:basedOn w:val="1"/>
    <w:qFormat/>
    <w:uiPriority w:val="0"/>
    <w:pPr>
      <w:numPr>
        <w:ilvl w:val="2"/>
        <w:numId w:val="6"/>
      </w:numPr>
      <w:ind w:left="709" w:hanging="709" w:firstLineChars="0"/>
    </w:pPr>
  </w:style>
  <w:style w:type="character" w:customStyle="1" w:styleId="37">
    <w:name w:val="标题 5 字符"/>
    <w:link w:val="6"/>
    <w:qFormat/>
    <w:uiPriority w:val="9"/>
    <w:rPr>
      <w:rFonts w:ascii="Calibri" w:hAnsi="Calibri" w:eastAsia="仿宋" w:cs="Times New Roman"/>
      <w:bCs/>
      <w:kern w:val="2"/>
      <w:sz w:val="32"/>
      <w:szCs w:val="28"/>
    </w:rPr>
  </w:style>
  <w:style w:type="paragraph" w:customStyle="1" w:styleId="38">
    <w:name w:val="前言正文"/>
    <w:qFormat/>
    <w:uiPriority w:val="0"/>
    <w:pPr>
      <w:spacing w:before="120" w:line="360" w:lineRule="auto"/>
      <w:ind w:firstLine="425"/>
      <w:jc w:val="center"/>
    </w:pPr>
    <w:rPr>
      <w:rFonts w:ascii="Times New Roman" w:hAnsi="Times New Roman" w:eastAsia="黑体" w:cs="Times New Roman"/>
      <w:kern w:val="0"/>
      <w:sz w:val="44"/>
      <w:szCs w:val="20"/>
      <w:lang w:val="en-US" w:eastAsia="zh-CN" w:bidi="ar-SA"/>
    </w:rPr>
  </w:style>
  <w:style w:type="paragraph" w:customStyle="1" w:styleId="39">
    <w:name w:val="表中文字"/>
    <w:basedOn w:val="1"/>
    <w:link w:val="40"/>
    <w:qFormat/>
    <w:uiPriority w:val="0"/>
    <w:pPr>
      <w:widowControl/>
      <w:jc w:val="left"/>
    </w:pPr>
    <w:rPr>
      <w:rFonts w:ascii="微软雅黑" w:hAnsi="微软雅黑" w:eastAsia="仿宋" w:cs="微软雅黑"/>
      <w:sz w:val="28"/>
      <w:szCs w:val="24"/>
    </w:rPr>
  </w:style>
  <w:style w:type="character" w:customStyle="1" w:styleId="40">
    <w:name w:val="表中文字 字符"/>
    <w:link w:val="39"/>
    <w:qFormat/>
    <w:locked/>
    <w:uiPriority w:val="0"/>
    <w:rPr>
      <w:rFonts w:ascii="微软雅黑" w:hAnsi="微软雅黑" w:eastAsia="仿宋" w:cs="微软雅黑"/>
      <w:kern w:val="2"/>
      <w:sz w:val="28"/>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2025-08-18T06:57:00Z</dcterms:created>
  <dc:creator>婁超羣</dc:creator>
  <cp:lastModifiedBy>婁超羣</cp:lastModifiedBy>
  <dcterms:modified xsi:type="dcterms:W3CDTF">2025-08-18T06:57:41Z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4C4F290D207A4778866FD913A94186B5_11</vt:lpwstr>
  </property>
  <property fmtid="{D5CDD505-2E9C-101B-9397-08002B2CF9AE}" pid="4" name="KSOTemplateDocerSaveRecord">
    <vt:lpwstr>eyJoZGlkIjoiNGM5NjYwN2Y4YWZhZjA5NTZlZDA0Y2I3MmIwOGRlNGUiLCJ1c2VySWQiOiI0MTQwNjcxMDIifQ==</vt:lpwstr>
  </property>
</Properties>
</file>