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Autospacing="0" w:afterAutospacing="0"/>
        <w:ind w:left="0"/>
        <w:jc w:val="center"/>
        <w:rPr>
          <w:rFonts w:ascii="方正小标宋简体" w:hAnsi="宋体" w:eastAsia="方正小标宋简体" w:cs="宋体"/>
          <w:b/>
          <w:color w:val="000000"/>
          <w:sz w:val="44"/>
          <w:szCs w:val="44"/>
          <w:lang w:val="en-US" w:eastAsia="zh-CN"/>
        </w:rPr>
      </w:pPr>
      <w:r>
        <w:rPr>
          <w:rFonts w:ascii="方正小标宋简体" w:hAnsi="宋体" w:eastAsia="方正小标宋简体" w:cs="宋体"/>
          <w:b/>
          <w:color w:val="000000"/>
          <w:sz w:val="44"/>
          <w:szCs w:val="44"/>
        </w:rPr>
        <w:t>2025温州市中式面点师</w:t>
      </w:r>
      <w:r>
        <w:rPr>
          <w:rFonts w:hint="eastAsia" w:ascii="方正小标宋简体" w:hAnsi="宋体" w:eastAsia="方正小标宋简体" w:cs="宋体"/>
          <w:b/>
          <w:color w:val="000000"/>
          <w:sz w:val="44"/>
          <w:szCs w:val="44"/>
        </w:rPr>
        <w:t>职业技能</w:t>
      </w:r>
      <w:r>
        <w:rPr>
          <w:rFonts w:hint="eastAsia" w:ascii="方正小标宋简体" w:hAnsi="宋体" w:eastAsia="方正小标宋简体" w:cs="宋体"/>
          <w:b/>
          <w:color w:val="000000"/>
          <w:sz w:val="44"/>
          <w:szCs w:val="44"/>
          <w:lang w:val="en-US" w:eastAsia="zh-CN"/>
        </w:rPr>
        <w:t>竞赛</w:t>
      </w:r>
    </w:p>
    <w:p>
      <w:pPr>
        <w:adjustRightInd w:val="0"/>
        <w:snapToGrid w:val="0"/>
        <w:spacing w:beforeAutospacing="0" w:afterAutospacing="0"/>
        <w:ind w:left="0"/>
        <w:jc w:val="center"/>
        <w:rPr>
          <w:rFonts w:ascii="方正小标宋简体" w:hAnsi="宋体" w:eastAsia="方正小标宋简体" w:cs="宋体"/>
          <w:b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color w:val="000000"/>
          <w:sz w:val="44"/>
          <w:szCs w:val="44"/>
        </w:rPr>
        <w:t>技术文件</w:t>
      </w:r>
    </w:p>
    <w:p>
      <w:pPr>
        <w:adjustRightInd w:val="0"/>
        <w:snapToGrid w:val="0"/>
        <w:spacing w:beforeAutospacing="0" w:afterAutospacing="0"/>
        <w:ind w:left="0"/>
        <w:jc w:val="center"/>
        <w:rPr>
          <w:rFonts w:ascii="方正小标宋简体" w:hAnsi="宋体" w:eastAsia="方正小标宋简体" w:cs="宋体"/>
          <w:b/>
          <w:color w:val="000000"/>
          <w:sz w:val="44"/>
          <w:szCs w:val="44"/>
        </w:rPr>
      </w:pPr>
    </w:p>
    <w:p>
      <w:pPr>
        <w:adjustRightInd w:val="0"/>
        <w:snapToGrid w:val="0"/>
        <w:spacing w:line="360" w:lineRule="auto"/>
        <w:ind w:firstLine="641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一、竞赛项目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项目名称：中式面点师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竞赛方式：个人项目</w:t>
      </w:r>
    </w:p>
    <w:p>
      <w:pPr>
        <w:spacing w:line="360" w:lineRule="auto"/>
        <w:ind w:firstLine="641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二、竞赛标准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本次竞赛以</w:t>
      </w:r>
      <w:r>
        <w:rPr>
          <w:rFonts w:hint="eastAsia" w:ascii="仿宋" w:hAnsi="仿宋" w:eastAsia="仿宋" w:cs="仿宋"/>
          <w:bCs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中式面点师</w:t>
      </w:r>
      <w:r>
        <w:rPr>
          <w:rFonts w:hint="eastAsia" w:ascii="仿宋" w:hAnsi="仿宋" w:eastAsia="仿宋" w:cs="仿宋"/>
          <w:bCs/>
          <w:sz w:val="32"/>
          <w:szCs w:val="32"/>
        </w:rPr>
        <w:t>国家职业标准》高级工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的标准作为命题依据，根据行业发展实际适当增加新知识、新技能等内容。</w:t>
      </w:r>
    </w:p>
    <w:p>
      <w:pPr>
        <w:spacing w:line="360" w:lineRule="auto"/>
        <w:ind w:firstLine="641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三、计分规则</w:t>
      </w:r>
    </w:p>
    <w:p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本次技能竞赛分为理论知识竞赛和技能操作竞赛两部分，分别以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0%和</w:t>
      </w:r>
      <w:r>
        <w:rPr>
          <w:rFonts w:ascii="仿宋" w:hAnsi="仿宋" w:eastAsia="仿宋" w:cs="仿宋"/>
          <w:sz w:val="32"/>
          <w:szCs w:val="32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0%计入总分。理论知识竞赛采用</w:t>
      </w:r>
      <w:r>
        <w:rPr>
          <w:rFonts w:ascii="仿宋" w:hAnsi="仿宋" w:eastAsia="仿宋" w:cs="仿宋"/>
          <w:sz w:val="32"/>
          <w:szCs w:val="32"/>
        </w:rPr>
        <w:t>无纸化考试</w:t>
      </w:r>
      <w:r>
        <w:rPr>
          <w:rFonts w:hint="eastAsia" w:ascii="仿宋" w:hAnsi="仿宋" w:eastAsia="仿宋" w:cs="仿宋"/>
          <w:sz w:val="32"/>
          <w:szCs w:val="32"/>
        </w:rPr>
        <w:t>方式进行，时间90分钟</w:t>
      </w:r>
      <w:r>
        <w:rPr>
          <w:rFonts w:hint="eastAsia" w:ascii="仿宋" w:hAnsi="仿宋" w:eastAsia="仿宋" w:cs="仿宋"/>
          <w:kern w:val="0"/>
          <w:sz w:val="32"/>
          <w:szCs w:val="32"/>
        </w:rPr>
        <w:t>，满分为100分。技能操作竞赛总时间1</w:t>
      </w:r>
      <w:r>
        <w:rPr>
          <w:rFonts w:ascii="仿宋" w:hAnsi="仿宋" w:eastAsia="仿宋" w:cs="仿宋"/>
          <w:kern w:val="0"/>
          <w:sz w:val="32"/>
          <w:szCs w:val="32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5分钟，满分为100分。在规定时间内按要求完成比赛内容。</w:t>
      </w:r>
      <w:r>
        <w:rPr>
          <w:rFonts w:hint="eastAsia" w:ascii="仿宋" w:hAnsi="仿宋" w:eastAsia="仿宋" w:cs="仿宋"/>
          <w:sz w:val="32"/>
          <w:szCs w:val="32"/>
        </w:rPr>
        <w:t>比赛名次以总</w:t>
      </w:r>
      <w:r>
        <w:rPr>
          <w:rFonts w:hint="eastAsia" w:ascii="仿宋" w:hAnsi="仿宋" w:eastAsia="仿宋" w:cs="仿宋"/>
          <w:kern w:val="0"/>
          <w:sz w:val="32"/>
          <w:szCs w:val="32"/>
        </w:rPr>
        <w:t>成绩</w:t>
      </w:r>
      <w:r>
        <w:rPr>
          <w:rFonts w:hint="eastAsia" w:ascii="仿宋" w:hAnsi="仿宋" w:eastAsia="仿宋" w:cs="仿宋"/>
          <w:sz w:val="32"/>
          <w:szCs w:val="32"/>
        </w:rPr>
        <w:t>（分数保留两位小数）</w:t>
      </w:r>
      <w:r>
        <w:rPr>
          <w:rFonts w:hint="eastAsia" w:ascii="仿宋" w:hAnsi="仿宋" w:eastAsia="仿宋" w:cs="仿宋"/>
          <w:kern w:val="0"/>
          <w:sz w:val="32"/>
          <w:szCs w:val="32"/>
        </w:rPr>
        <w:t>从高分到低分依次排名来确定</w:t>
      </w:r>
      <w:r>
        <w:rPr>
          <w:rFonts w:hint="eastAsia" w:ascii="仿宋" w:hAnsi="仿宋" w:eastAsia="仿宋" w:cs="仿宋"/>
          <w:sz w:val="32"/>
          <w:szCs w:val="32"/>
        </w:rPr>
        <w:t>。（若总分数相同，以操作技能成绩较高者名次为先；若操作技能成绩再相同，第一项技能操作成绩高者名次排前</w:t>
      </w:r>
      <w:r>
        <w:rPr>
          <w:rFonts w:ascii="仿宋" w:hAnsi="仿宋" w:eastAsia="仿宋" w:cs="仿宋"/>
          <w:sz w:val="32"/>
          <w:szCs w:val="32"/>
        </w:rPr>
        <w:t>，以此类推</w:t>
      </w:r>
      <w:r>
        <w:rPr>
          <w:rFonts w:hint="eastAsia" w:ascii="仿宋" w:hAnsi="仿宋" w:eastAsia="仿宋" w:cs="仿宋"/>
          <w:sz w:val="32"/>
          <w:szCs w:val="32"/>
        </w:rPr>
        <w:t>。）</w:t>
      </w:r>
    </w:p>
    <w:p>
      <w:pPr>
        <w:spacing w:line="360" w:lineRule="auto"/>
        <w:ind w:firstLine="641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四、理论知识竞赛内容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（一）竞赛时间：90分钟；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（二）试题类型：选择题、判断题、多选题。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</w:t>
      </w:r>
      <w:r>
        <w:rPr>
          <w:rFonts w:ascii="仿宋" w:hAnsi="仿宋" w:eastAsia="仿宋" w:cs="仿宋"/>
          <w:bCs/>
          <w:sz w:val="32"/>
          <w:szCs w:val="32"/>
        </w:rPr>
        <w:t>三</w:t>
      </w:r>
      <w:r>
        <w:rPr>
          <w:rFonts w:hint="eastAsia" w:ascii="仿宋" w:hAnsi="仿宋" w:eastAsia="仿宋" w:cs="仿宋"/>
          <w:bCs/>
          <w:sz w:val="32"/>
          <w:szCs w:val="32"/>
        </w:rPr>
        <w:t>）竞赛内容：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1.职业道德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2.基础知识：包括饮食卫生知识、营养知识、成本核算知识、安全生产知识等。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3.专业知识：与中式面点师高级工（国家职业资格三级）相关的专业理论知识，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同时根据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行业发展实际适当增加新知识、新技能等内容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）参考教材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1.国家职业技能等级认定培训教材《中式面点师（初、中、高级技能）》，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ISBN：7504530158</w:t>
      </w:r>
      <w:r>
        <w:rPr>
          <w:rFonts w:hint="eastAsia" w:ascii="仿宋" w:hAnsi="仿宋" w:eastAsia="仿宋" w:cs="仿宋"/>
          <w:kern w:val="0"/>
          <w:sz w:val="32"/>
          <w:szCs w:val="32"/>
        </w:rPr>
        <w:t>中国劳动社会保障出版社</w:t>
      </w:r>
    </w:p>
    <w:p>
      <w:pPr>
        <w:spacing w:line="360" w:lineRule="auto"/>
        <w:ind w:firstLine="641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五、技能操作竞赛内容</w:t>
      </w:r>
    </w:p>
    <w:tbl>
      <w:tblPr>
        <w:tblStyle w:val="13"/>
        <w:tblpPr w:leftFromText="180" w:rightFromText="180" w:vertAnchor="text" w:horzAnchor="page" w:tblpX="1509" w:tblpY="746"/>
        <w:tblW w:w="92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2068"/>
        <w:gridCol w:w="3355"/>
        <w:gridCol w:w="1710"/>
        <w:gridCol w:w="1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72" w:type="dxa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仿宋"/>
                <w:b/>
                <w:bCs/>
                <w:caps/>
                <w:smallCap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 w:cs="仿宋"/>
                <w:b/>
                <w:bCs/>
                <w:caps/>
                <w:smallCaps w:val="0"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068" w:type="dxa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aps/>
                <w:smallCaps w:val="0"/>
                <w:color w:val="auto"/>
                <w:sz w:val="32"/>
                <w:szCs w:val="32"/>
                <w:lang w:val="en-US" w:eastAsia="zh-CN"/>
              </w:rPr>
              <w:t>竞赛项目</w:t>
            </w:r>
          </w:p>
        </w:tc>
        <w:tc>
          <w:tcPr>
            <w:tcW w:w="3355" w:type="dxa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aps/>
                <w:smallCaps w:val="0"/>
                <w:color w:val="auto"/>
                <w:kern w:val="0"/>
                <w:sz w:val="32"/>
                <w:szCs w:val="32"/>
                <w:lang w:val="en-US" w:eastAsia="zh-CN" w:bidi="ar-SA"/>
              </w:rPr>
              <w:t>竞赛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内容</w:t>
            </w:r>
          </w:p>
        </w:tc>
        <w:tc>
          <w:tcPr>
            <w:tcW w:w="1710" w:type="dxa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时间</w:t>
            </w:r>
          </w:p>
        </w:tc>
        <w:tc>
          <w:tcPr>
            <w:tcW w:w="1131" w:type="dxa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72" w:type="dxa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1</w:t>
            </w:r>
          </w:p>
        </w:tc>
        <w:tc>
          <w:tcPr>
            <w:tcW w:w="206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水调</w:t>
            </w:r>
            <w:r>
              <w:rPr>
                <w:rFonts w:ascii="仿宋" w:hAnsi="仿宋" w:eastAsia="仿宋" w:cs="仿宋"/>
                <w:sz w:val="32"/>
                <w:szCs w:val="32"/>
              </w:rPr>
              <w:t>类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面团</w:t>
            </w:r>
          </w:p>
        </w:tc>
        <w:tc>
          <w:tcPr>
            <w:tcW w:w="335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月牙饺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生胚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1份</w:t>
            </w:r>
          </w:p>
        </w:tc>
        <w:tc>
          <w:tcPr>
            <w:tcW w:w="171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25分钟</w:t>
            </w:r>
          </w:p>
        </w:tc>
        <w:tc>
          <w:tcPr>
            <w:tcW w:w="1131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72" w:type="dxa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2</w:t>
            </w:r>
          </w:p>
        </w:tc>
        <w:tc>
          <w:tcPr>
            <w:tcW w:w="206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发酵</w:t>
            </w:r>
            <w:r>
              <w:rPr>
                <w:rFonts w:ascii="仿宋" w:hAnsi="仿宋" w:eastAsia="仿宋" w:cs="仿宋"/>
                <w:sz w:val="32"/>
                <w:szCs w:val="32"/>
              </w:rPr>
              <w:t>类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面团</w:t>
            </w:r>
          </w:p>
        </w:tc>
        <w:tc>
          <w:tcPr>
            <w:tcW w:w="335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提褶包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1份</w:t>
            </w:r>
          </w:p>
        </w:tc>
        <w:tc>
          <w:tcPr>
            <w:tcW w:w="171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0分钟</w:t>
            </w:r>
          </w:p>
        </w:tc>
        <w:tc>
          <w:tcPr>
            <w:tcW w:w="1131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72" w:type="dxa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3</w:t>
            </w:r>
          </w:p>
        </w:tc>
        <w:tc>
          <w:tcPr>
            <w:tcW w:w="206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其他</w:t>
            </w:r>
            <w:r>
              <w:rPr>
                <w:rFonts w:ascii="仿宋" w:hAnsi="仿宋" w:eastAsia="仿宋" w:cs="仿宋"/>
                <w:sz w:val="32"/>
                <w:szCs w:val="32"/>
              </w:rPr>
              <w:t>类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面团</w:t>
            </w:r>
          </w:p>
        </w:tc>
        <w:tc>
          <w:tcPr>
            <w:tcW w:w="335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温州油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卵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1份</w:t>
            </w:r>
          </w:p>
        </w:tc>
        <w:tc>
          <w:tcPr>
            <w:tcW w:w="1710" w:type="dxa"/>
            <w:vMerge w:val="continue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1131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woUserID w:val="1"/>
              </w:rPr>
              <w:t>2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72" w:type="dxa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06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油酥</w:t>
            </w:r>
            <w:r>
              <w:rPr>
                <w:rFonts w:ascii="仿宋" w:hAnsi="仿宋" w:eastAsia="仿宋" w:cs="仿宋"/>
                <w:sz w:val="32"/>
                <w:szCs w:val="32"/>
              </w:rPr>
              <w:t>类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面团</w:t>
            </w:r>
          </w:p>
        </w:tc>
        <w:tc>
          <w:tcPr>
            <w:tcW w:w="335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自选作品1款</w:t>
            </w:r>
          </w:p>
        </w:tc>
        <w:tc>
          <w:tcPr>
            <w:tcW w:w="1710" w:type="dxa"/>
            <w:vMerge w:val="continue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1131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eastAsia="zh-CN"/>
                <w:woUserID w:val="1"/>
              </w:rPr>
              <w:t>3</w:t>
            </w:r>
            <w:bookmarkStart w:id="8" w:name="_GoBack"/>
            <w:bookmarkEnd w:id="8"/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0%</w:t>
            </w:r>
          </w:p>
        </w:tc>
      </w:tr>
    </w:tbl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（一）竞赛项目及分值</w:t>
      </w:r>
    </w:p>
    <w:p>
      <w:pPr>
        <w:spacing w:line="360" w:lineRule="auto"/>
        <w:ind w:firstLine="48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  <w:r>
        <w:rPr>
          <w:rFonts w:hint="eastAsia" w:ascii="仿宋" w:hAnsi="仿宋" w:eastAsia="仿宋" w:cs="仿宋"/>
          <w:bCs/>
          <w:sz w:val="32"/>
          <w:szCs w:val="32"/>
        </w:rPr>
        <w:t>竞赛内容及要求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本项目要求参赛选手在规定时间内按规程要求完成</w:t>
      </w:r>
      <w:r>
        <w:rPr>
          <w:rFonts w:ascii="仿宋" w:hAnsi="仿宋" w:eastAsia="仿宋" w:cs="仿宋"/>
          <w:kern w:val="0"/>
          <w:sz w:val="32"/>
          <w:szCs w:val="32"/>
        </w:rPr>
        <w:t>四</w:t>
      </w:r>
      <w:r>
        <w:rPr>
          <w:rFonts w:hint="eastAsia" w:ascii="仿宋" w:hAnsi="仿宋" w:eastAsia="仿宋" w:cs="仿宋"/>
          <w:kern w:val="0"/>
          <w:sz w:val="32"/>
          <w:szCs w:val="32"/>
        </w:rPr>
        <w:t>款作品的制作。</w:t>
      </w:r>
    </w:p>
    <w:p>
      <w:pPr>
        <w:widowControl/>
        <w:snapToGrid w:val="0"/>
        <w:spacing w:line="360" w:lineRule="auto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(一)技能操作竞赛</w:t>
      </w:r>
    </w:p>
    <w:p>
      <w:pPr>
        <w:widowControl/>
        <w:snapToGrid w:val="0"/>
        <w:spacing w:line="360" w:lineRule="auto"/>
        <w:ind w:left="0"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基本功作品 20%、发酵面团作品20%、油酥面团作品</w:t>
      </w:r>
      <w:bookmarkStart w:id="0" w:name="OLE_LINK4"/>
      <w:r>
        <w:rPr>
          <w:rFonts w:hint="eastAsia" w:ascii="仿宋" w:hAnsi="仿宋" w:eastAsia="仿宋" w:cs="仿宋"/>
          <w:kern w:val="0"/>
          <w:sz w:val="32"/>
          <w:szCs w:val="32"/>
        </w:rPr>
        <w:t>30%</w:t>
      </w:r>
      <w:bookmarkEnd w:id="0"/>
      <w:r>
        <w:rPr>
          <w:rFonts w:hint="eastAsia" w:ascii="仿宋" w:hAnsi="仿宋" w:eastAsia="仿宋" w:cs="仿宋"/>
          <w:kern w:val="0"/>
          <w:sz w:val="32"/>
          <w:szCs w:val="32"/>
        </w:rPr>
        <w:t>其他面胚品种作品30%）*</w:t>
      </w:r>
      <w:r>
        <w:rPr>
          <w:rFonts w:ascii="仿宋" w:hAnsi="仿宋" w:eastAsia="仿宋" w:cs="仿宋"/>
          <w:kern w:val="0"/>
          <w:sz w:val="32"/>
          <w:szCs w:val="32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</w:rPr>
        <w:t>0%</w:t>
      </w:r>
      <w:r>
        <w:rPr>
          <w:rFonts w:ascii="仿宋" w:hAnsi="仿宋" w:eastAsia="仿宋" w:cs="仿宋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具体内容如下：</w:t>
      </w:r>
    </w:p>
    <w:p>
      <w:pPr>
        <w:widowControl/>
        <w:snapToGrid w:val="0"/>
        <w:spacing w:line="360" w:lineRule="auto"/>
        <w:ind w:left="0"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参赛选手在规定时间内完成4个作品，水调面团单独计时25分钟，发酵面团作品+油酥作品时间+其他面胚品种自选作品打通共150分钟。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1.基本功规定作品（占20%）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比赛内容为“调制水调面团：月牙饺</w:t>
      </w:r>
      <w:bookmarkStart w:id="1" w:name="OLE_LINK1"/>
      <w:r>
        <w:rPr>
          <w:rFonts w:hint="eastAsia" w:ascii="仿宋" w:hAnsi="仿宋" w:eastAsia="仿宋" w:cs="仿宋"/>
          <w:kern w:val="0"/>
          <w:sz w:val="32"/>
          <w:szCs w:val="32"/>
        </w:rPr>
        <w:t>生胚</w:t>
      </w:r>
      <w:bookmarkEnd w:id="1"/>
      <w:r>
        <w:rPr>
          <w:rFonts w:hint="eastAsia" w:ascii="仿宋" w:hAnsi="仿宋" w:eastAsia="仿宋" w:cs="仿宋"/>
          <w:kern w:val="0"/>
          <w:sz w:val="32"/>
          <w:szCs w:val="32"/>
        </w:rPr>
        <w:t xml:space="preserve">”，时间为25 分钟（独立计时），具体要求为：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bookmarkStart w:id="2" w:name="OLE_LINK5"/>
      <w:r>
        <w:rPr>
          <w:rFonts w:hint="eastAsia" w:ascii="仿宋" w:hAnsi="仿宋" w:eastAsia="仿宋" w:cs="仿宋"/>
          <w:kern w:val="0"/>
          <w:sz w:val="32"/>
          <w:szCs w:val="32"/>
        </w:rPr>
        <w:t xml:space="preserve">（1）选手一律使用现场提供的美玫牌面粉250克，其中200克调制面团，50克用作饽粉。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（2）现场完成和面、揉面、搓条、下剂，擀皮，包捏，成型。数量以10个为准，单只重量为20±5克。要求大小一致，形似月牙，褶纹（18个以上）清晰均匀，没有毛边。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（3）不得使用压面机等工具，不得借助刀具等其他工具下剂。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（4）月牙饺生胚按照5、5的排列方式，用现场提供的 35.5厘米白色圆平盘盛装</w:t>
      </w:r>
      <w:bookmarkEnd w:id="2"/>
      <w:r>
        <w:rPr>
          <w:rFonts w:hint="eastAsia" w:ascii="仿宋" w:hAnsi="仿宋" w:eastAsia="仿宋" w:cs="仿宋"/>
          <w:kern w:val="0"/>
          <w:sz w:val="32"/>
          <w:szCs w:val="32"/>
        </w:rPr>
        <w:t>送评。</w:t>
      </w:r>
    </w:p>
    <w:tbl>
      <w:tblPr>
        <w:tblStyle w:val="13"/>
        <w:tblW w:w="77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028"/>
        <w:gridCol w:w="4358"/>
        <w:gridCol w:w="14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9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项目</w:t>
            </w:r>
          </w:p>
        </w:tc>
        <w:tc>
          <w:tcPr>
            <w:tcW w:w="435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扣分内容</w:t>
            </w:r>
          </w:p>
        </w:tc>
        <w:tc>
          <w:tcPr>
            <w:tcW w:w="141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扣分额度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9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35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1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感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官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评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  <w:tc>
          <w:tcPr>
            <w:tcW w:w="102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色泽</w:t>
            </w:r>
          </w:p>
        </w:tc>
        <w:tc>
          <w:tcPr>
            <w:tcW w:w="4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色泽不够白净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102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色泽不均匀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102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干粉过多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102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形态</w:t>
            </w:r>
          </w:p>
        </w:tc>
        <w:tc>
          <w:tcPr>
            <w:tcW w:w="4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皮子不完整，破损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102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月牙饺花纹不均匀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102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月牙饺形态不正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102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花纹不清晰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102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规格</w:t>
            </w:r>
          </w:p>
        </w:tc>
        <w:tc>
          <w:tcPr>
            <w:tcW w:w="4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缺一个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102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皮子褶纹少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18个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102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月牙饺超出或少10克/10个以上每克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1028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摆放</w:t>
            </w:r>
          </w:p>
        </w:tc>
        <w:tc>
          <w:tcPr>
            <w:tcW w:w="4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摆放不整齐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2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容器不干净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1-3</w:t>
            </w:r>
          </w:p>
        </w:tc>
      </w:tr>
    </w:tbl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2.发酵面团规定作品（占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0%）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比赛内容为“提褶包”，时间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通用</w:t>
      </w:r>
      <w:r>
        <w:rPr>
          <w:rFonts w:hint="eastAsia"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0分钟。具体要求为：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（1）选手使用现场提供的美玫牌面粉（</w:t>
      </w:r>
      <w:r>
        <w:rPr>
          <w:rFonts w:ascii="仿宋" w:hAnsi="仿宋" w:eastAsia="仿宋" w:cs="仿宋"/>
          <w:kern w:val="0"/>
          <w:sz w:val="32"/>
          <w:szCs w:val="32"/>
        </w:rPr>
        <w:t>300编织袋款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）300克，赛场提供材料猪肉夹心肉150克、酱油、食用盐、料酒，安琪酵母、糖等材料进行现场制作。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（2）提褶包每只重45±5克，限做10只送评。在现场完成面团调制、馅料调制、包捏造型、发酵与成熟。成品要求大小均匀，质地光滑、褶纹清晰且每只不少于18褶，间距均匀。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（3）包子按照 3～4～3 的排列方式，用现场提供的 35.5厘米的平盘盛装送评。</w:t>
      </w:r>
    </w:p>
    <w:tbl>
      <w:tblPr>
        <w:tblStyle w:val="13"/>
        <w:tblW w:w="7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086"/>
        <w:gridCol w:w="4079"/>
        <w:gridCol w:w="15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9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项目</w:t>
            </w:r>
          </w:p>
        </w:tc>
        <w:tc>
          <w:tcPr>
            <w:tcW w:w="407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扣分内容</w:t>
            </w:r>
          </w:p>
        </w:tc>
        <w:tc>
          <w:tcPr>
            <w:tcW w:w="154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扣分额度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9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4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感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官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评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色泽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形态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外表皮有焦斑、点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色泽不够白净或者是过深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色泽不均匀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有污染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不完整，破损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发面外表塌陷，收缩，发酵不到位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形态不正、欠饱满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产品不美观，层次不清晰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工艺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火候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生或者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夹生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内部组织不好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火候不当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口味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口感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缺乏应有的风味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调味不当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有异味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创意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实用</w:t>
            </w:r>
          </w:p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设计不当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食用性不强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1-3</w:t>
            </w:r>
          </w:p>
        </w:tc>
      </w:tr>
    </w:tbl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.</w:t>
      </w:r>
      <w:bookmarkStart w:id="3" w:name="OLE_LINK3"/>
      <w:bookmarkStart w:id="4" w:name="OLE_LINK2"/>
      <w:r>
        <w:rPr>
          <w:rFonts w:hint="eastAsia" w:ascii="仿宋" w:hAnsi="仿宋" w:eastAsia="仿宋" w:cs="仿宋"/>
          <w:kern w:val="0"/>
          <w:sz w:val="32"/>
          <w:szCs w:val="32"/>
        </w:rPr>
        <w:t>其他面胚品种</w:t>
      </w:r>
      <w:bookmarkEnd w:id="3"/>
      <w:bookmarkEnd w:id="4"/>
      <w:r>
        <w:rPr>
          <w:rFonts w:hint="eastAsia" w:ascii="仿宋" w:hAnsi="仿宋" w:eastAsia="仿宋" w:cs="仿宋"/>
          <w:kern w:val="0"/>
          <w:sz w:val="32"/>
          <w:szCs w:val="32"/>
        </w:rPr>
        <w:t>（占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0%）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比赛内容为“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温州油卵</w:t>
      </w:r>
      <w:r>
        <w:rPr>
          <w:rFonts w:hint="eastAsia" w:ascii="仿宋" w:hAnsi="仿宋" w:eastAsia="仿宋" w:cs="仿宋"/>
          <w:kern w:val="0"/>
          <w:sz w:val="32"/>
          <w:szCs w:val="32"/>
        </w:rPr>
        <w:t>”，时间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通用</w:t>
      </w:r>
      <w:r>
        <w:rPr>
          <w:rFonts w:hint="eastAsia"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0分钟。具体要求为：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（1）选手一律使用现场提供的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三象</w:t>
      </w:r>
      <w:r>
        <w:rPr>
          <w:rFonts w:hint="eastAsia" w:ascii="仿宋" w:hAnsi="仿宋" w:eastAsia="仿宋" w:cs="仿宋"/>
          <w:kern w:val="0"/>
          <w:sz w:val="32"/>
          <w:szCs w:val="32"/>
        </w:rPr>
        <w:t>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水磨糯米</w:t>
      </w:r>
      <w:r>
        <w:rPr>
          <w:rFonts w:hint="eastAsia" w:ascii="仿宋" w:hAnsi="仿宋" w:eastAsia="仿宋" w:cs="仿宋"/>
          <w:kern w:val="0"/>
          <w:sz w:val="32"/>
          <w:szCs w:val="32"/>
        </w:rPr>
        <w:t>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kern w:val="0"/>
          <w:sz w:val="32"/>
          <w:szCs w:val="32"/>
        </w:rPr>
        <w:t>0 克，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面粉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50克、豆沙100克、芝麻50克</w:t>
      </w:r>
      <w:r>
        <w:rPr>
          <w:rFonts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（2）现场完成和面、揉面、搓条、下剂，包捏，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炸制、</w:t>
      </w:r>
      <w:r>
        <w:rPr>
          <w:rFonts w:hint="eastAsia" w:ascii="仿宋" w:hAnsi="仿宋" w:eastAsia="仿宋" w:cs="仿宋"/>
          <w:kern w:val="0"/>
          <w:sz w:val="32"/>
          <w:szCs w:val="32"/>
        </w:rPr>
        <w:t>成型。数量以 10 个为准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）温州油卵区别于传统麻球，成品呈鸭蛋状略长的空心结构，长度要求约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10厘米，横截面直径3-4厘米，表层芝麻覆盖率至少高于80%</w:t>
      </w:r>
      <w:r>
        <w:rPr>
          <w:rFonts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）不得使用压面机等工具，不得借助刀具等其他工具下剂。 </w:t>
      </w:r>
    </w:p>
    <w:p>
      <w:pPr>
        <w:widowControl/>
        <w:snapToGrid w:val="0"/>
        <w:spacing w:line="360" w:lineRule="auto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成品</w:t>
      </w:r>
      <w:r>
        <w:rPr>
          <w:rFonts w:hint="eastAsia" w:ascii="仿宋" w:hAnsi="仿宋" w:eastAsia="仿宋" w:cs="仿宋"/>
          <w:kern w:val="0"/>
          <w:sz w:val="32"/>
          <w:szCs w:val="32"/>
        </w:rPr>
        <w:t>按照3～4～3的排列方式，用现场提供的35.5厘米白色圆平盘盛装</w:t>
      </w:r>
      <w:r>
        <w:rPr>
          <w:rFonts w:ascii="仿宋" w:hAnsi="仿宋" w:eastAsia="仿宋" w:cs="仿宋"/>
          <w:kern w:val="0"/>
          <w:sz w:val="32"/>
          <w:szCs w:val="32"/>
        </w:rPr>
        <w:t>。</w:t>
      </w:r>
    </w:p>
    <w:tbl>
      <w:tblPr>
        <w:tblStyle w:val="13"/>
        <w:tblW w:w="7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086"/>
        <w:gridCol w:w="4079"/>
        <w:gridCol w:w="15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9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项目</w:t>
            </w:r>
          </w:p>
        </w:tc>
        <w:tc>
          <w:tcPr>
            <w:tcW w:w="407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扣分内容</w:t>
            </w:r>
          </w:p>
        </w:tc>
        <w:tc>
          <w:tcPr>
            <w:tcW w:w="154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扣分额度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9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4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感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官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评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色泽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形态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外表皮有焦斑、点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色泽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过浅或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过深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色泽不均匀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有污染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不完整，破损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外表塌陷，收缩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形态不正、欠饱满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品不美观坐油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工艺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火候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生或者焦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内部组织不好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火候不当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口味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口感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缺乏应有的风味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调味不当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有异味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创意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实用</w:t>
            </w:r>
          </w:p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设计不当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食用性不强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1-3</w:t>
            </w:r>
          </w:p>
        </w:tc>
      </w:tr>
    </w:tbl>
    <w:p>
      <w:pPr>
        <w:widowControl/>
        <w:snapToGrid w:val="0"/>
        <w:spacing w:line="36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</w:t>
      </w:r>
    </w:p>
    <w:p>
      <w:pPr>
        <w:widowControl/>
        <w:snapToGrid w:val="0"/>
        <w:spacing w:line="360" w:lineRule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.油酥面团自选作品（占 30%）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比赛内容为“油酥”，时间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通用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0 分钟。具体要求为：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（1）现场统一提供美玫牌面粉（</w:t>
      </w:r>
      <w:r>
        <w:rPr>
          <w:rFonts w:ascii="仿宋" w:hAnsi="仿宋" w:eastAsia="仿宋" w:cs="仿宋"/>
          <w:kern w:val="0"/>
          <w:sz w:val="32"/>
          <w:szCs w:val="32"/>
        </w:rPr>
        <w:t>300编织袋款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）700克干面粉、京日牌油性豆沙馅心200克，南顺发牌猪油200克，鸡蛋1只，色拉油1油锅。选手现场和面，在场内完成全部制作及成熟过程</w:t>
      </w:r>
      <w:r>
        <w:rPr>
          <w:rFonts w:ascii="仿宋" w:hAnsi="仿宋" w:eastAsia="仿宋" w:cs="仿宋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</w:rPr>
        <w:t>油酥面团以油炸成型。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（2）产品层次清晰，制作精细</w:t>
      </w:r>
      <w:r>
        <w:rPr>
          <w:rFonts w:ascii="仿宋" w:hAnsi="仿宋" w:eastAsia="仿宋" w:cs="仿宋"/>
          <w:kern w:val="0"/>
          <w:sz w:val="32"/>
          <w:szCs w:val="32"/>
        </w:rPr>
        <w:t>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（3）赛场提供一只小碗（装鸡蛋）</w:t>
      </w:r>
      <w:r>
        <w:rPr>
          <w:rFonts w:ascii="仿宋" w:hAnsi="仿宋" w:eastAsia="仿宋" w:cs="仿宋"/>
          <w:kern w:val="0"/>
          <w:sz w:val="32"/>
          <w:szCs w:val="32"/>
        </w:rPr>
        <w:t>。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（4）采用自主设计器皿盛装送评，最少8只送评。</w:t>
      </w:r>
      <w:r>
        <w:rPr>
          <w:rFonts w:hint="eastAsia" w:ascii="仿宋" w:hAnsi="仿宋" w:eastAsia="仿宋" w:cs="仿宋"/>
          <w:bCs/>
          <w:sz w:val="32"/>
          <w:szCs w:val="32"/>
        </w:rPr>
        <w:t>盛器内的装饰物可以在场外制作带过来，在场内摆放。</w:t>
      </w:r>
    </w:p>
    <w:p>
      <w:pPr>
        <w:pStyle w:val="2"/>
        <w:ind w:firstLine="640" w:firstLineChars="200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自选作品制作必须等前三项作品制作完成后方能开始操作。</w:t>
      </w:r>
    </w:p>
    <w:tbl>
      <w:tblPr>
        <w:tblStyle w:val="13"/>
        <w:tblW w:w="7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086"/>
        <w:gridCol w:w="4079"/>
        <w:gridCol w:w="15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9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项目</w:t>
            </w:r>
          </w:p>
        </w:tc>
        <w:tc>
          <w:tcPr>
            <w:tcW w:w="407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扣分内容</w:t>
            </w:r>
          </w:p>
        </w:tc>
        <w:tc>
          <w:tcPr>
            <w:tcW w:w="154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扣分额度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9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4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感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官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评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色泽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形态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外表皮有焦斑、点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色泽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过浅或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过深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色泽不均匀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有污染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不完整，破损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外表塌陷，收缩，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形态不正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油酥产品不美观坐油，层次不清晰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工艺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火候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生或者焦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内部组织不好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火候不当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口味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口感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缺乏应有的风味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调味不当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有异味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创意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实用</w:t>
            </w:r>
          </w:p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设计不当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8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食用性不强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1-3</w:t>
            </w:r>
          </w:p>
        </w:tc>
      </w:tr>
    </w:tbl>
    <w:p>
      <w:pPr>
        <w:pStyle w:val="2"/>
        <w:rPr>
          <w:rFonts w:hint="eastAsia"/>
        </w:rPr>
      </w:pPr>
    </w:p>
    <w:p>
      <w:pPr>
        <w:widowControl/>
        <w:snapToGrid w:val="0"/>
        <w:spacing w:line="360" w:lineRule="auto"/>
        <w:ind w:firstLine="641" w:firstLineChars="200"/>
        <w:rPr>
          <w:rFonts w:hint="eastAsia" w:ascii="宋体" w:hAnsi="宋体" w:eastAsia="宋体" w:cs="宋体"/>
          <w:b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</w:rPr>
        <w:t>六、竞赛规则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1.超时说明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本项目要求参赛选手在规定时间内要求完成竞赛内容，时间一到即刻停止比赛，如超时继续制作则该项内容（作品）作“零分”处理。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2.检录查验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进场前接受查验，除刀具</w:t>
      </w:r>
      <w:r>
        <w:rPr>
          <w:rFonts w:ascii="仿宋" w:hAnsi="仿宋" w:eastAsia="仿宋" w:cs="仿宋"/>
          <w:kern w:val="0"/>
          <w:sz w:val="32"/>
          <w:szCs w:val="32"/>
        </w:rPr>
        <w:t>、油酥面团作品所需</w:t>
      </w:r>
      <w:r>
        <w:rPr>
          <w:rFonts w:hint="eastAsia" w:ascii="仿宋" w:hAnsi="仿宋" w:eastAsia="仿宋" w:cs="仿宋"/>
          <w:bCs/>
          <w:sz w:val="32"/>
          <w:szCs w:val="32"/>
        </w:rPr>
        <w:t>盛器</w:t>
      </w:r>
      <w:r>
        <w:rPr>
          <w:rFonts w:ascii="仿宋" w:hAnsi="仿宋" w:eastAsia="仿宋" w:cs="仿宋"/>
          <w:bCs/>
          <w:sz w:val="32"/>
          <w:szCs w:val="32"/>
        </w:rPr>
        <w:t>和</w:t>
      </w:r>
      <w:r>
        <w:rPr>
          <w:rFonts w:hint="eastAsia" w:ascii="仿宋" w:hAnsi="仿宋" w:eastAsia="仿宋" w:cs="仿宋"/>
          <w:bCs/>
          <w:sz w:val="32"/>
          <w:szCs w:val="32"/>
        </w:rPr>
        <w:t>装饰物</w:t>
      </w:r>
      <w:r>
        <w:rPr>
          <w:rFonts w:ascii="仿宋" w:hAnsi="仿宋" w:eastAsia="仿宋" w:cs="仿宋"/>
          <w:bCs/>
          <w:sz w:val="32"/>
          <w:szCs w:val="32"/>
        </w:rPr>
        <w:t>及</w:t>
      </w:r>
      <w:r>
        <w:rPr>
          <w:rFonts w:hint="eastAsia" w:ascii="仿宋" w:hAnsi="仿宋" w:eastAsia="仿宋" w:cs="仿宋"/>
          <w:kern w:val="0"/>
          <w:sz w:val="32"/>
          <w:szCs w:val="32"/>
        </w:rPr>
        <w:t>必要的小工具外，任何原料不得带入比赛现场，在赛场内发现违反规定者将取消参赛资格。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3.遵循准则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（1）凡参赛选手、评委、工作人员、赛项组织者等均须按照赛项组委会要求准时到达赛项举办地点，及时办理相关手续，领取相关证件，熟悉场地，做好赛前准备工作。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（2）依据本赛项规定，所有原材料由比赛承办方提供，不得违规夹带。所有工具均需接受检录人员检查和现场裁判员的动态检查。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（3）比赛期间服从赛区指挥，遵守相关规定，按照统一工作部署，及时有效地完成相关任务。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（4）比赛现场，须穿着统一服装，佩戴相关证件，仪表端正，注重礼仪规范，保持赛场良好秩序。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4、评判内容：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1.操作过程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（1）操作流程：技法得当，动作娴熟，流程合理，投料准确，按时完成，操作安全与规范。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（2）原料加工：用料符合要求，操作熟练，加工规范，原料利用率高。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（3）原料使用：原料“选取”符合面点设计与制作的要求，品种与数量合理、清晰、准确，做到物尽其用，不浪费，注重节约。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（4）卫生安全：操作区域整洁干净，注重卫生，废弃物处理得当，原料及作品保存合理。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2.作品质量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（1）口味与质感：调味得当，口味纯正，主味突出，无异味，质感符合应有要求，体现地方特色。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（2）工艺与火候：成熟恰当，火候适宜，主辅料配比合理，特点鲜明，区域技法明显。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（3）创意与实用：注重营养卫生，设计合理，有较高的技术技巧，创意突出，适合推广。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（4）形态与色泽：造型美观，色彩自然，符合油酥制品和发酵制品的质量要求，摆放有序。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（5）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kern w:val="0"/>
          <w:sz w:val="32"/>
          <w:szCs w:val="32"/>
        </w:rPr>
        <w:t>个品种，最好不同馅心，不同形状，不同口味，不同的成熟方法，分数有优势。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5、赛场提供物品与设备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1.赛场提供常规设备：家用燃气炉、锅、漏勺、马勺、</w:t>
      </w:r>
      <w:r>
        <w:rPr>
          <w:rFonts w:hint="eastAsia" w:ascii="仿宋" w:hAnsi="仿宋" w:eastAsia="仿宋" w:cs="仿宋"/>
          <w:kern w:val="0"/>
          <w:sz w:val="32"/>
          <w:szCs w:val="32"/>
        </w:rPr>
        <w:t>蒸笼（3底、1盖，直径约30cm）</w:t>
      </w:r>
      <w:r>
        <w:rPr>
          <w:rFonts w:hint="eastAsia" w:ascii="仿宋" w:hAnsi="仿宋" w:eastAsia="仿宋" w:cs="仿宋"/>
          <w:bCs/>
          <w:sz w:val="32"/>
          <w:szCs w:val="32"/>
        </w:rPr>
        <w:t>、电子称。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2.规定作品器皿现场提供普通白色圆盘，自选作品器皿自己带。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3.擀面棍、刮板、常用小工具等也现场提供。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.安琪牌酵母、鸡蛋、猪油、葱、生姜、精盐、味精、白糖、料酒、酱油及色拉油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.注意事项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（1）开赛10分钟后，选手不得进入比赛场地；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（2）选手工作服、围裙、工作帽统一由大赛组委会提供；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（3）操作时保持场地、物品的洁净卫生。</w:t>
      </w:r>
    </w:p>
    <w:p>
      <w:pPr>
        <w:widowControl/>
        <w:snapToGrid w:val="0"/>
        <w:spacing w:line="360" w:lineRule="auto"/>
        <w:ind w:firstLine="641" w:firstLineChars="200"/>
        <w:rPr>
          <w:rFonts w:hint="eastAsia" w:ascii="宋体" w:hAnsi="宋体" w:eastAsia="宋体" w:cs="宋体"/>
          <w:b/>
          <w:kern w:val="0"/>
          <w:sz w:val="32"/>
          <w:szCs w:val="32"/>
        </w:rPr>
      </w:pPr>
      <w:bookmarkStart w:id="5" w:name="_Toc438019466"/>
      <w:r>
        <w:rPr>
          <w:rFonts w:hint="eastAsia" w:ascii="宋体" w:hAnsi="宋体" w:eastAsia="宋体" w:cs="宋体"/>
          <w:b/>
          <w:kern w:val="0"/>
          <w:sz w:val="32"/>
          <w:szCs w:val="32"/>
        </w:rPr>
        <w:t>七、</w:t>
      </w:r>
      <w:bookmarkEnd w:id="5"/>
      <w:r>
        <w:rPr>
          <w:rFonts w:hint="eastAsia" w:ascii="宋体" w:hAnsi="宋体" w:eastAsia="宋体" w:cs="宋体"/>
          <w:b/>
          <w:kern w:val="0"/>
          <w:sz w:val="32"/>
          <w:szCs w:val="32"/>
        </w:rPr>
        <w:t>现场违规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现场裁判员根据选手的违规行为和违纪现象，参照《现场操作违规内容及扣分标准》处理，由裁判长签字确认。《现场操作违规内容及扣分标准》是由现场裁判员对水调面团作品、发酵面团作品、油酥作品、其他面胚品种自选作品”四个项目分别裁判，并纳入各项目的总分 (最高扣除每个作品总分10分，超过10分按10分计) 。</w:t>
      </w:r>
    </w:p>
    <w:p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napToGrid w:val="0"/>
        <w:spacing w:line="360" w:lineRule="auto"/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现场操作违规内容及扣分标准</w:t>
      </w:r>
    </w:p>
    <w:tbl>
      <w:tblPr>
        <w:tblStyle w:val="13"/>
        <w:tblW w:w="69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926"/>
        <w:gridCol w:w="2684"/>
        <w:gridCol w:w="12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30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bookmarkStart w:id="6" w:name="_Toc438019469"/>
            <w:r>
              <w:rPr>
                <w:rFonts w:hint="eastAsia" w:ascii="宋体" w:hAnsi="宋体" w:eastAsia="宋体"/>
                <w:b/>
                <w:sz w:val="24"/>
              </w:rPr>
              <w:t>考核标准</w:t>
            </w:r>
          </w:p>
        </w:tc>
        <w:tc>
          <w:tcPr>
            <w:tcW w:w="39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扣分标准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1.仪容</w:t>
            </w:r>
          </w:p>
        </w:tc>
        <w:tc>
          <w:tcPr>
            <w:tcW w:w="192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仪容仪表符合行业要求。</w:t>
            </w:r>
          </w:p>
        </w:tc>
        <w:tc>
          <w:tcPr>
            <w:tcW w:w="26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涂带色指甲油</w:t>
            </w:r>
          </w:p>
        </w:tc>
        <w:tc>
          <w:tcPr>
            <w:tcW w:w="1233" w:type="dxa"/>
            <w:tcBorders>
              <w:lef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扣1分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continue"/>
            <w:vAlign w:val="center"/>
          </w:tcPr>
          <w:p/>
        </w:tc>
        <w:tc>
          <w:tcPr>
            <w:tcW w:w="1467" w:type="dxa"/>
            <w:vMerge w:val="continue"/>
            <w:tcBorders>
              <w:left w:val="single" w:color="000000" w:sz="4" w:space="0"/>
            </w:tcBorders>
            <w:vAlign w:val="center"/>
          </w:tcPr>
          <w:p/>
        </w:tc>
        <w:tc>
          <w:tcPr>
            <w:tcW w:w="26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手上佩戴戒子等首饰</w:t>
            </w:r>
          </w:p>
        </w:tc>
        <w:tc>
          <w:tcPr>
            <w:tcW w:w="1233" w:type="dxa"/>
            <w:tcBorders>
              <w:lef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扣1分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restart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2.着装</w:t>
            </w:r>
          </w:p>
        </w:tc>
        <w:tc>
          <w:tcPr>
            <w:tcW w:w="1926" w:type="dxa"/>
            <w:vMerge w:val="restart"/>
            <w:tcBorders>
              <w:left w:val="single" w:color="000000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工作服、工作帽整洁，不破损。</w:t>
            </w:r>
          </w:p>
        </w:tc>
        <w:tc>
          <w:tcPr>
            <w:tcW w:w="26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不戴厨师帽</w:t>
            </w:r>
          </w:p>
        </w:tc>
        <w:tc>
          <w:tcPr>
            <w:tcW w:w="123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扣1分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continue"/>
            <w:vAlign w:val="center"/>
          </w:tcPr>
          <w:p/>
        </w:tc>
        <w:tc>
          <w:tcPr>
            <w:tcW w:w="1467" w:type="dxa"/>
            <w:vMerge w:val="continue"/>
            <w:tcBorders>
              <w:left w:val="single" w:color="000000" w:sz="4" w:space="0"/>
            </w:tcBorders>
            <w:vAlign w:val="center"/>
          </w:tcPr>
          <w:p/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不着厨师服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扣2分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restart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3.卫生</w:t>
            </w:r>
          </w:p>
        </w:tc>
        <w:tc>
          <w:tcPr>
            <w:tcW w:w="1926" w:type="dxa"/>
            <w:vMerge w:val="restart"/>
            <w:tcBorders>
              <w:left w:val="single" w:color="000000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操作过程符合卫生要求，炊、用具洁净，操作结束后台面、地面卫生干净。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原料掉落地上后仍直接使用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扣2分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continue"/>
            <w:vAlign w:val="center"/>
          </w:tcPr>
          <w:p/>
        </w:tc>
        <w:tc>
          <w:tcPr>
            <w:tcW w:w="1467" w:type="dxa"/>
            <w:vMerge w:val="continue"/>
            <w:tcBorders>
              <w:left w:val="single" w:color="000000" w:sz="4" w:space="0"/>
            </w:tcBorders>
            <w:vAlign w:val="center"/>
          </w:tcPr>
          <w:p/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操作后各类用具未清洗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扣1分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continue"/>
            <w:vAlign w:val="center"/>
          </w:tcPr>
          <w:p/>
        </w:tc>
        <w:tc>
          <w:tcPr>
            <w:tcW w:w="1467" w:type="dxa"/>
            <w:vMerge w:val="continue"/>
            <w:tcBorders>
              <w:left w:val="single" w:color="000000" w:sz="4" w:space="0"/>
            </w:tcBorders>
            <w:vAlign w:val="center"/>
          </w:tcPr>
          <w:p/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操作后台面未整理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扣2分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continue"/>
            <w:vAlign w:val="center"/>
          </w:tcPr>
          <w:p/>
        </w:tc>
        <w:tc>
          <w:tcPr>
            <w:tcW w:w="1467" w:type="dxa"/>
            <w:vMerge w:val="continue"/>
            <w:tcBorders>
              <w:left w:val="single" w:color="000000" w:sz="4" w:space="0"/>
            </w:tcBorders>
            <w:vAlign w:val="center"/>
          </w:tcPr>
          <w:p/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操作后地面脏乱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扣1分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restart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4.用料</w:t>
            </w:r>
          </w:p>
        </w:tc>
        <w:tc>
          <w:tcPr>
            <w:tcW w:w="1926" w:type="dxa"/>
            <w:vMerge w:val="restart"/>
            <w:tcBorders>
              <w:left w:val="single" w:color="000000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用料合理，物尽其用。</w:t>
            </w:r>
          </w:p>
        </w:tc>
        <w:tc>
          <w:tcPr>
            <w:tcW w:w="26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1122"/>
              </w:tabs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原料有扔弃现象</w:t>
            </w:r>
          </w:p>
        </w:tc>
        <w:tc>
          <w:tcPr>
            <w:tcW w:w="123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扣2分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continue"/>
            <w:vAlign w:val="center"/>
          </w:tcPr>
          <w:p/>
        </w:tc>
        <w:tc>
          <w:tcPr>
            <w:tcW w:w="1467" w:type="dxa"/>
            <w:vMerge w:val="continue"/>
            <w:tcBorders>
              <w:left w:val="single" w:color="000000" w:sz="4" w:space="0"/>
            </w:tcBorders>
            <w:vAlign w:val="center"/>
          </w:tcPr>
          <w:p/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调料、油有浪费现象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扣1分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continue"/>
            <w:vAlign w:val="center"/>
          </w:tcPr>
          <w:p/>
        </w:tc>
        <w:tc>
          <w:tcPr>
            <w:tcW w:w="1467" w:type="dxa"/>
            <w:vMerge w:val="continue"/>
            <w:tcBorders>
              <w:left w:val="single" w:color="000000" w:sz="4" w:space="0"/>
            </w:tcBorders>
            <w:vAlign w:val="center"/>
          </w:tcPr>
          <w:p/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违规使用夹带原料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取消比赛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restart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5.其他</w:t>
            </w:r>
          </w:p>
        </w:tc>
        <w:tc>
          <w:tcPr>
            <w:tcW w:w="192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失饪重做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作品零分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continue"/>
            <w:vAlign w:val="center"/>
          </w:tcPr>
          <w:p/>
        </w:tc>
        <w:tc>
          <w:tcPr>
            <w:tcW w:w="192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长时间未烹调不关火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扣1分</w:t>
            </w:r>
          </w:p>
        </w:tc>
      </w:tr>
    </w:tbl>
    <w:p>
      <w:pPr>
        <w:spacing w:line="360" w:lineRule="auto"/>
        <w:ind w:firstLine="641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spacing w:line="360" w:lineRule="auto"/>
        <w:ind w:firstLine="641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八、赛项安全</w:t>
      </w:r>
      <w:bookmarkEnd w:id="6"/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bookmarkStart w:id="7" w:name="_Toc438019470"/>
      <w:r>
        <w:rPr>
          <w:rFonts w:hint="eastAsia" w:ascii="仿宋" w:hAnsi="仿宋" w:eastAsia="仿宋" w:cs="仿宋"/>
          <w:kern w:val="0"/>
          <w:sz w:val="32"/>
          <w:szCs w:val="32"/>
        </w:rPr>
        <w:t>1.参赛选手在参赛过程中，必须服从场内裁判和工作人员的指挥，严格按照制作规程进行操作，正确使用器具及设备，在工作人员指挥下进行用火操作，如出现非正常起火，立即关闭燃气阀门并向工作人员举手汇报。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2.妥善保管和使用个人刀具，严禁个人物品占用通道。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3.评委在比赛前，宣读安全注意事项，强调用火、用电安全规则。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4.当现场出现突发事件时，根据应急预案及时给予处置，确保人身和财产安全。</w:t>
      </w:r>
    </w:p>
    <w:p>
      <w:pPr>
        <w:spacing w:line="360" w:lineRule="auto"/>
        <w:ind w:firstLine="641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九、</w:t>
      </w:r>
      <w:bookmarkEnd w:id="7"/>
      <w:r>
        <w:rPr>
          <w:rFonts w:hint="eastAsia" w:ascii="宋体" w:hAnsi="宋体" w:eastAsia="宋体" w:cs="宋体"/>
          <w:b/>
          <w:bCs/>
          <w:sz w:val="32"/>
          <w:szCs w:val="32"/>
        </w:rPr>
        <w:t>其它事项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</w:t>
      </w:r>
      <w:r>
        <w:rPr>
          <w:rFonts w:ascii="仿宋" w:hAnsi="仿宋" w:eastAsia="仿宋" w:cs="仿宋"/>
          <w:color w:val="000000"/>
          <w:sz w:val="32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本技术文件未尽事宜将在后续补充文件中确定。 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</w:t>
      </w:r>
      <w:r>
        <w:rPr>
          <w:rFonts w:ascii="仿宋" w:hAnsi="仿宋" w:eastAsia="仿宋" w:cs="仿宋"/>
          <w:color w:val="000000"/>
          <w:sz w:val="32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本技术文件的最终解释权归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竞赛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组委会。</w:t>
      </w:r>
    </w:p>
    <w:p>
      <w:pPr>
        <w:jc w:val="center"/>
        <w:rPr>
          <w:rFonts w:ascii="宋体" w:hAnsi="宋体" w:cs="宋体"/>
          <w:szCs w:val="21"/>
        </w:rPr>
      </w:pPr>
    </w:p>
    <w:sectPr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Inria 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Frutiger LT Com 45 Light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方正小标宋简体">
    <w:altName w:val="汉仪书宋二KW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NDc4ODU4ZjcwNDU2MGZmMTNhNThiOGMyOTNmNzU1YjMifQ=="/>
  </w:docVars>
  <w:rsids>
    <w:rsidRoot w:val="00000000"/>
    <w:rsid w:val="11301068"/>
    <w:rsid w:val="FBE30B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Arial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8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6">
    <w:name w:val="heading 3"/>
    <w:basedOn w:val="1"/>
    <w:next w:val="1"/>
    <w:link w:val="1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autoSpaceDE/>
      <w:autoSpaceDN/>
      <w:adjustRightInd/>
      <w:spacing w:before="0" w:after="120"/>
      <w:ind w:left="0" w:firstLine="100" w:firstLineChars="100"/>
      <w:jc w:val="both"/>
    </w:pPr>
    <w:rPr>
      <w:rFonts w:ascii="等线" w:hAnsi="等线" w:eastAsia="等线" w:cs="Arial"/>
      <w:kern w:val="2"/>
      <w:sz w:val="21"/>
      <w:szCs w:val="22"/>
    </w:rPr>
  </w:style>
  <w:style w:type="paragraph" w:styleId="3">
    <w:name w:val="Body Text"/>
    <w:basedOn w:val="1"/>
    <w:qFormat/>
    <w:uiPriority w:val="0"/>
    <w:pPr>
      <w:autoSpaceDE w:val="0"/>
      <w:autoSpaceDN w:val="0"/>
      <w:adjustRightInd w:val="0"/>
      <w:spacing w:before="7"/>
      <w:ind w:left="20"/>
      <w:jc w:val="left"/>
    </w:pPr>
    <w:rPr>
      <w:rFonts w:ascii="宋体" w:hAnsi="Times New Roman" w:eastAsia="宋体" w:cs="宋体"/>
      <w:kern w:val="0"/>
      <w:sz w:val="30"/>
      <w:szCs w:val="30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200" w:leftChars="200"/>
    </w:pPr>
    <w:rPr>
      <w:rFonts w:ascii="Times New Roman" w:hAnsi="Times New Roman" w:eastAsia="宋体" w:cs="Times New Roman"/>
      <w:szCs w:val="24"/>
    </w:r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0"/>
    <w:pPr>
      <w:widowControl/>
      <w:spacing w:line="560" w:lineRule="exact"/>
      <w:contextualSpacing/>
    </w:pPr>
    <w:rPr>
      <w:rFonts w:ascii="Inria Serif" w:hAnsi="Inria Serif" w:eastAsia="宋体" w:cs="Times New Roman (Headings CS)"/>
      <w:b/>
      <w:color w:val="0084AD"/>
      <w:spacing w:val="-10"/>
      <w:kern w:val="28"/>
      <w:sz w:val="50"/>
      <w:szCs w:val="56"/>
      <w:lang w:val="en-AU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heading 1 Char"/>
    <w:basedOn w:val="14"/>
    <w:link w:val="4"/>
    <w:uiPriority w:val="0"/>
    <w:rPr>
      <w:rFonts w:ascii="等线" w:hAnsi="等线" w:eastAsia="等线" w:cs="Arial"/>
      <w:b/>
      <w:bCs/>
      <w:kern w:val="44"/>
      <w:sz w:val="44"/>
      <w:szCs w:val="44"/>
      <w:lang w:val="en-US" w:eastAsia="zh-CN" w:bidi="ar-SA"/>
    </w:rPr>
  </w:style>
  <w:style w:type="character" w:customStyle="1" w:styleId="18">
    <w:name w:val="heading 2 Char"/>
    <w:basedOn w:val="14"/>
    <w:link w:val="5"/>
    <w:qFormat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9">
    <w:name w:val="heading 3 Char"/>
    <w:basedOn w:val="14"/>
    <w:link w:val="6"/>
    <w:qFormat/>
    <w:uiPriority w:val="0"/>
    <w:rPr>
      <w:rFonts w:ascii="等线" w:hAnsi="等线" w:eastAsia="等线" w:cs="Arial"/>
      <w:b/>
      <w:bCs/>
      <w:kern w:val="2"/>
      <w:sz w:val="32"/>
      <w:szCs w:val="32"/>
      <w:lang w:val="en-US" w:eastAsia="zh-CN" w:bidi="ar-SA"/>
    </w:rPr>
  </w:style>
  <w:style w:type="paragraph" w:styleId="20">
    <w:name w:val="List Paragraph"/>
    <w:basedOn w:val="1"/>
    <w:qFormat/>
    <w:uiPriority w:val="0"/>
    <w:pPr>
      <w:ind w:firstLine="200" w:firstLineChars="200"/>
    </w:pPr>
  </w:style>
  <w:style w:type="paragraph" w:customStyle="1" w:styleId="21">
    <w:name w:val="Table Paragraph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22">
    <w:name w:val="Editable"/>
    <w:qFormat/>
    <w:uiPriority w:val="0"/>
    <w:rPr>
      <w:rFonts w:ascii="Times New Roman" w:hAnsi="Times New Roman" w:cs="Times New Roman"/>
      <w:color w:val="62B5E5"/>
    </w:rPr>
  </w:style>
  <w:style w:type="paragraph" w:customStyle="1" w:styleId="23">
    <w:name w:val="_Style 15"/>
    <w:basedOn w:val="1"/>
    <w:next w:val="1"/>
    <w:qFormat/>
    <w:uiPriority w:val="0"/>
    <w:pPr>
      <w:ind w:left="400" w:leftChars="400"/>
    </w:pPr>
    <w:rPr>
      <w:rFonts w:ascii="Calibri" w:hAnsi="Calibri" w:eastAsia="宋体" w:cs="Times New Roman"/>
      <w:szCs w:val="24"/>
    </w:rPr>
  </w:style>
  <w:style w:type="paragraph" w:customStyle="1" w:styleId="24">
    <w:name w:val="Editable table text"/>
    <w:basedOn w:val="1"/>
    <w:next w:val="23"/>
    <w:qFormat/>
    <w:locked/>
    <w:uiPriority w:val="0"/>
    <w:pPr>
      <w:widowControl/>
      <w:jc w:val="both"/>
    </w:pPr>
    <w:rPr>
      <w:rFonts w:ascii="Frutiger LT Com 45 Light" w:hAnsi="Frutiger LT Com 45 Light" w:eastAsia="宋体" w:cs="Arial"/>
      <w:color w:val="62B5E5"/>
      <w:kern w:val="0"/>
      <w:sz w:val="20"/>
      <w:szCs w:val="24"/>
      <w:lang w:val="en-GB" w:bidi="ar-SA"/>
    </w:rPr>
  </w:style>
  <w:style w:type="paragraph" w:customStyle="1" w:styleId="25">
    <w:name w:val="_Style 24"/>
    <w:basedOn w:val="1"/>
    <w:next w:val="1"/>
    <w:qFormat/>
    <w:uiPriority w:val="0"/>
    <w:pPr>
      <w:ind w:left="400" w:leftChars="4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E47D04E4-0F4E-45FA-B048-1913331FC4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12</Pages>
  <Words>3752</Words>
  <Characters>4030</Characters>
  <Lines>0</Lines>
  <Paragraphs>103</Paragraphs>
  <TotalTime>8</TotalTime>
  <ScaleCrop>false</ScaleCrop>
  <LinksUpToDate>false</LinksUpToDate>
  <CharactersWithSpaces>4065</CharactersWithSpaces>
  <Application>WPS Office WWO_dingtalk_20240221035043-c523bba0e7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2023-05-18T16:58:00Z</dcterms:created>
  <dc:creator>lzh18866646423@163.com</dc:creator>
  <cp:lastModifiedBy>米阳商贸</cp:lastModifiedBy>
  <cp:lastPrinted>2023-05-18T16:58:00Z</cp:lastPrinted>
  <dcterms:modified xsi:type="dcterms:W3CDTF">2025-08-08T20:59:26Z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6BD24A4777644207B487050F91537FA7_12</vt:lpwstr>
  </property>
  <property fmtid="{D5CDD505-2E9C-101B-9397-08002B2CF9AE}" pid="4" name="KSOTemplateDocerSaveRecord">
    <vt:lpwstr>eyJoZGlkIjoiODVhYWYxMzU1YWUxMWExZTdjNmUyOTA3ZGJlZGMzM2MiLCJ1c2VySWQiOiIxMzE1ODI0Mzc2In0=</vt:lpwstr>
  </property>
</Properties>
</file>