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7A341">
      <w:pPr>
        <w:adjustRightInd w:val="0"/>
        <w:snapToGrid w:val="0"/>
        <w:spacing w:beforeAutospacing="0" w:afterAutospacing="0"/>
        <w:ind w:left="0"/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  <w:lang w:val="en-US" w:eastAsia="zh-CN"/>
        </w:rPr>
      </w:pPr>
      <w:r>
        <w:rPr>
          <w:rFonts w:ascii="方正小标宋简体" w:hAnsi="宋体" w:eastAsia="方正小标宋简体" w:cs="宋体"/>
          <w:b/>
          <w:color w:val="000000"/>
          <w:sz w:val="44"/>
          <w:szCs w:val="44"/>
        </w:rPr>
        <w:t>2025温州市中式烹调师</w:t>
      </w: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职业技能</w:t>
      </w: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  <w:lang w:val="en-US" w:eastAsia="zh-CN"/>
        </w:rPr>
        <w:t>竞赛</w:t>
      </w:r>
    </w:p>
    <w:p w14:paraId="6F7B4171">
      <w:pPr>
        <w:spacing w:line="560" w:lineRule="exact"/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技术文件</w:t>
      </w:r>
    </w:p>
    <w:p w14:paraId="5C88A4BA">
      <w:pPr>
        <w:pStyle w:val="2"/>
      </w:pPr>
    </w:p>
    <w:p w14:paraId="634869AE">
      <w:pPr>
        <w:adjustRightInd w:val="0"/>
        <w:snapToGrid w:val="0"/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一、竞赛项目</w:t>
      </w:r>
    </w:p>
    <w:p w14:paraId="09F8C4F0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项目名称：中式</w:t>
      </w:r>
      <w:r>
        <w:rPr>
          <w:rFonts w:ascii="仿宋" w:hAnsi="仿宋" w:eastAsia="仿宋" w:cs="仿宋"/>
          <w:sz w:val="32"/>
          <w:szCs w:val="32"/>
        </w:rPr>
        <w:t>烹调</w:t>
      </w:r>
      <w:r>
        <w:rPr>
          <w:rFonts w:hint="eastAsia" w:ascii="仿宋" w:hAnsi="仿宋" w:eastAsia="仿宋" w:cs="仿宋"/>
          <w:sz w:val="32"/>
          <w:szCs w:val="32"/>
        </w:rPr>
        <w:t>师</w:t>
      </w:r>
    </w:p>
    <w:p w14:paraId="49F018C7">
      <w:pPr>
        <w:spacing w:line="360" w:lineRule="auto"/>
        <w:ind w:firstLine="640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竞赛方式：个人项目</w:t>
      </w:r>
    </w:p>
    <w:p w14:paraId="0E0CCF3C">
      <w:pPr>
        <w:spacing w:line="360" w:lineRule="auto"/>
        <w:ind w:firstLine="643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二、竞赛标准</w:t>
      </w:r>
    </w:p>
    <w:p w14:paraId="1803173A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本次竞赛以</w:t>
      </w:r>
      <w:r>
        <w:rPr>
          <w:rFonts w:hint="eastAsia" w:ascii="仿宋" w:hAnsi="仿宋" w:eastAsia="仿宋" w:cs="仿宋"/>
          <w:bCs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中式烹调师</w:t>
      </w:r>
      <w:r>
        <w:rPr>
          <w:rFonts w:hint="eastAsia" w:ascii="仿宋" w:hAnsi="仿宋" w:eastAsia="仿宋" w:cs="仿宋"/>
          <w:bCs/>
          <w:sz w:val="32"/>
          <w:szCs w:val="32"/>
        </w:rPr>
        <w:t>国家职业标准》高级工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的标准作为命题依据，根据行业发展实际适当增加新知识、新技能等内容。</w:t>
      </w:r>
    </w:p>
    <w:p w14:paraId="0292F13B">
      <w:pPr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三、计分规则</w:t>
      </w:r>
    </w:p>
    <w:p w14:paraId="5004888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本次技能竞赛分为理论知识竞赛和技能操作竞赛两部分，分别以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0%和</w:t>
      </w:r>
      <w:r>
        <w:rPr>
          <w:rFonts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0%计入总分。理论知识竞赛采用</w:t>
      </w:r>
      <w:r>
        <w:rPr>
          <w:rFonts w:ascii="仿宋" w:hAnsi="仿宋" w:eastAsia="仿宋" w:cs="仿宋"/>
          <w:sz w:val="32"/>
          <w:szCs w:val="32"/>
        </w:rPr>
        <w:t>无纸化考试</w:t>
      </w:r>
      <w:r>
        <w:rPr>
          <w:rFonts w:hint="eastAsia" w:ascii="仿宋" w:hAnsi="仿宋" w:eastAsia="仿宋" w:cs="仿宋"/>
          <w:sz w:val="32"/>
          <w:szCs w:val="32"/>
        </w:rPr>
        <w:t>方式进行，时间90分钟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，满分为100分。技能操作竞赛总时间2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0分钟，满分为100分。在规定时间内按要求完成比赛内容。</w:t>
      </w:r>
      <w:r>
        <w:rPr>
          <w:rFonts w:hint="eastAsia" w:ascii="仿宋" w:hAnsi="仿宋" w:eastAsia="仿宋" w:cs="仿宋"/>
          <w:sz w:val="32"/>
          <w:szCs w:val="32"/>
        </w:rPr>
        <w:t>比赛名次以总</w:t>
      </w:r>
      <w:r>
        <w:rPr>
          <w:rFonts w:hint="eastAsia" w:ascii="仿宋" w:hAnsi="仿宋" w:eastAsia="仿宋" w:cs="仿宋"/>
          <w:kern w:val="0"/>
          <w:sz w:val="32"/>
          <w:szCs w:val="32"/>
        </w:rPr>
        <w:t>成绩</w:t>
      </w:r>
      <w:r>
        <w:rPr>
          <w:rFonts w:hint="eastAsia" w:ascii="仿宋" w:hAnsi="仿宋" w:eastAsia="仿宋" w:cs="仿宋"/>
          <w:sz w:val="32"/>
          <w:szCs w:val="32"/>
        </w:rPr>
        <w:t>（分数保留两位小数）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从高分到低分依次排名来确定</w:t>
      </w:r>
      <w:r>
        <w:rPr>
          <w:rFonts w:hint="eastAsia" w:ascii="仿宋" w:hAnsi="仿宋" w:eastAsia="仿宋" w:cs="仿宋"/>
          <w:sz w:val="32"/>
          <w:szCs w:val="32"/>
        </w:rPr>
        <w:t>。（若总分数相同，以操作技能成绩较高者名次为先；若操作技能成绩再相同，第一项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龙凤狮虎盘</w:t>
      </w:r>
      <w:r>
        <w:rPr>
          <w:rFonts w:hint="eastAsia" w:ascii="仿宋" w:hAnsi="仿宋" w:eastAsia="仿宋" w:cs="仿宋"/>
          <w:sz w:val="32"/>
          <w:szCs w:val="32"/>
        </w:rPr>
        <w:t>技能操作成绩高者名次排前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，以此类推</w:t>
      </w:r>
      <w:r>
        <w:rPr>
          <w:rFonts w:hint="eastAsia" w:ascii="仿宋" w:hAnsi="仿宋" w:eastAsia="仿宋" w:cs="仿宋"/>
          <w:sz w:val="32"/>
          <w:szCs w:val="32"/>
        </w:rPr>
        <w:t>。）</w:t>
      </w:r>
    </w:p>
    <w:p w14:paraId="48D0D446">
      <w:pPr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四、理论知识竞赛内容</w:t>
      </w:r>
    </w:p>
    <w:p w14:paraId="652676E7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（一）竞赛时间：90分钟；</w:t>
      </w:r>
    </w:p>
    <w:p w14:paraId="7D037244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（二）试题类型：选择题、判断题、多选题。</w:t>
      </w:r>
    </w:p>
    <w:p w14:paraId="28BCC8AD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ascii="仿宋" w:hAnsi="仿宋" w:eastAsia="仿宋" w:cs="仿宋"/>
          <w:bCs/>
          <w:sz w:val="32"/>
          <w:szCs w:val="32"/>
        </w:rPr>
        <w:t>三</w:t>
      </w:r>
      <w:r>
        <w:rPr>
          <w:rFonts w:hint="eastAsia" w:ascii="仿宋" w:hAnsi="仿宋" w:eastAsia="仿宋" w:cs="仿宋"/>
          <w:bCs/>
          <w:sz w:val="32"/>
          <w:szCs w:val="32"/>
        </w:rPr>
        <w:t>）竞赛内容：</w:t>
      </w:r>
    </w:p>
    <w:p w14:paraId="158D6E6C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1.职业道德</w:t>
      </w:r>
    </w:p>
    <w:p w14:paraId="69F09F70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2.基础知识：包括饮食卫生知识、营养知识、成本核算知识、安全生产知识等。</w:t>
      </w:r>
    </w:p>
    <w:p w14:paraId="2DC32BB5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3.专业知识：与中式烹调师高级工（国家职业资格三级）相关的专业理论知识，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同时根据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行业发展实际适当增加新知识、新技能等内容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2A151CD2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（五）参考教材</w:t>
      </w:r>
    </w:p>
    <w:p w14:paraId="02F831AD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 国家职业技能等级认定培训教材《中式烹调师（初、中、高级技能）》，ISBN:9787516746141中国劳动社会保障出版社，2021.4.1第一版</w:t>
      </w:r>
    </w:p>
    <w:p w14:paraId="04ED6B1F">
      <w:pPr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五、操作技能竞赛内容</w:t>
      </w:r>
    </w:p>
    <w:p w14:paraId="58E84A1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（一）竞赛项目及分值</w:t>
      </w:r>
    </w:p>
    <w:tbl>
      <w:tblPr>
        <w:tblStyle w:val="13"/>
        <w:tblpPr w:leftFromText="180" w:rightFromText="180" w:vertAnchor="text" w:horzAnchor="margin" w:tblpXSpec="center" w:tblpY="258"/>
        <w:tblW w:w="8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4158"/>
        <w:gridCol w:w="1500"/>
        <w:gridCol w:w="961"/>
      </w:tblGrid>
      <w:tr w14:paraId="2A72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34" w:type="dxa"/>
            <w:vAlign w:val="center"/>
          </w:tcPr>
          <w:p w14:paraId="35C82310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158" w:type="dxa"/>
            <w:vAlign w:val="center"/>
          </w:tcPr>
          <w:p w14:paraId="261EFA07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竞赛内容</w:t>
            </w:r>
          </w:p>
        </w:tc>
        <w:tc>
          <w:tcPr>
            <w:tcW w:w="1500" w:type="dxa"/>
            <w:vAlign w:val="center"/>
          </w:tcPr>
          <w:p w14:paraId="0F896A69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</w:t>
            </w:r>
          </w:p>
        </w:tc>
        <w:tc>
          <w:tcPr>
            <w:tcW w:w="961" w:type="dxa"/>
            <w:vAlign w:val="center"/>
          </w:tcPr>
          <w:p w14:paraId="17142EF9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分值</w:t>
            </w:r>
          </w:p>
        </w:tc>
      </w:tr>
      <w:tr w14:paraId="6CCC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34" w:type="dxa"/>
            <w:vAlign w:val="center"/>
          </w:tcPr>
          <w:p w14:paraId="1CB10B64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4158" w:type="dxa"/>
            <w:tcBorders>
              <w:left w:val="single" w:color="auto" w:sz="4" w:space="0"/>
            </w:tcBorders>
            <w:vAlign w:val="center"/>
          </w:tcPr>
          <w:p w14:paraId="2FD51104"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bookmarkStart w:id="0" w:name="OLE_LINK4"/>
            <w:bookmarkStart w:id="1" w:name="OLE_LINK3"/>
            <w:r>
              <w:rPr>
                <w:rFonts w:hint="eastAsia" w:ascii="仿宋" w:hAnsi="仿宋" w:eastAsia="仿宋" w:cs="仿宋"/>
                <w:sz w:val="32"/>
                <w:szCs w:val="32"/>
              </w:rPr>
              <w:t>温州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龙凤狮虎盘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作品4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盘配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四味小碟</w:t>
            </w:r>
            <w:bookmarkEnd w:id="0"/>
            <w:bookmarkEnd w:id="1"/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FE2E3BD">
            <w:pPr>
              <w:widowControl/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0分钟</w:t>
            </w:r>
          </w:p>
        </w:tc>
        <w:tc>
          <w:tcPr>
            <w:tcW w:w="961" w:type="dxa"/>
            <w:tcBorders>
              <w:left w:val="single" w:color="auto" w:sz="4" w:space="0"/>
            </w:tcBorders>
            <w:vAlign w:val="center"/>
          </w:tcPr>
          <w:p w14:paraId="38E6495E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30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%</w:t>
            </w:r>
          </w:p>
        </w:tc>
      </w:tr>
      <w:tr w14:paraId="629FC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34" w:type="dxa"/>
            <w:vAlign w:val="center"/>
          </w:tcPr>
          <w:p w14:paraId="00526828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58" w:type="dxa"/>
            <w:tcBorders>
              <w:left w:val="single" w:color="auto" w:sz="4" w:space="0"/>
            </w:tcBorders>
            <w:vAlign w:val="center"/>
          </w:tcPr>
          <w:p w14:paraId="3C14825A"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bookmarkStart w:id="2" w:name="OLE_LINK12"/>
            <w:r>
              <w:rPr>
                <w:rFonts w:hint="eastAsia" w:ascii="仿宋" w:hAnsi="仿宋" w:eastAsia="仿宋" w:cs="仿宋"/>
                <w:sz w:val="32"/>
                <w:szCs w:val="32"/>
              </w:rPr>
              <w:t>热菜规定作品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锦绣鱼丝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1份</w:t>
            </w:r>
            <w:bookmarkEnd w:id="2"/>
          </w:p>
        </w:tc>
        <w:tc>
          <w:tcPr>
            <w:tcW w:w="1500" w:type="dxa"/>
            <w:vMerge w:val="restart"/>
            <w:tcBorders>
              <w:left w:val="single" w:color="auto" w:sz="4" w:space="0"/>
            </w:tcBorders>
            <w:vAlign w:val="center"/>
          </w:tcPr>
          <w:p w14:paraId="003F8D87">
            <w:pPr>
              <w:snapToGrid w:val="0"/>
              <w:spacing w:before="156" w:beforeLines="50" w:line="36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分钟</w:t>
            </w:r>
          </w:p>
        </w:tc>
        <w:tc>
          <w:tcPr>
            <w:tcW w:w="961" w:type="dxa"/>
            <w:tcBorders>
              <w:left w:val="single" w:color="auto" w:sz="4" w:space="0"/>
            </w:tcBorders>
            <w:vAlign w:val="center"/>
          </w:tcPr>
          <w:p w14:paraId="3EDA77D1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20%</w:t>
            </w:r>
          </w:p>
        </w:tc>
      </w:tr>
      <w:tr w14:paraId="5E6C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34" w:type="dxa"/>
            <w:vAlign w:val="center"/>
          </w:tcPr>
          <w:p w14:paraId="6E1ACB79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58" w:type="dxa"/>
            <w:tcBorders>
              <w:left w:val="single" w:color="auto" w:sz="4" w:space="0"/>
            </w:tcBorders>
            <w:vAlign w:val="center"/>
          </w:tcPr>
          <w:p w14:paraId="781627FD">
            <w:pPr>
              <w:widowControl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热菜规定作品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油条腰花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1份</w:t>
            </w:r>
          </w:p>
        </w:tc>
        <w:tc>
          <w:tcPr>
            <w:tcW w:w="1500" w:type="dxa"/>
            <w:vMerge w:val="continue"/>
            <w:tcBorders>
              <w:left w:val="single" w:color="auto" w:sz="4" w:space="0"/>
            </w:tcBorders>
            <w:vAlign w:val="center"/>
          </w:tcPr>
          <w:p w14:paraId="77BED142"/>
        </w:tc>
        <w:tc>
          <w:tcPr>
            <w:tcW w:w="961" w:type="dxa"/>
            <w:tcBorders>
              <w:left w:val="single" w:color="auto" w:sz="4" w:space="0"/>
            </w:tcBorders>
            <w:vAlign w:val="center"/>
          </w:tcPr>
          <w:p w14:paraId="6571180F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%</w:t>
            </w:r>
          </w:p>
        </w:tc>
      </w:tr>
      <w:tr w14:paraId="5F63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34" w:type="dxa"/>
            <w:vAlign w:val="center"/>
          </w:tcPr>
          <w:p w14:paraId="62028EB3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bookmarkStart w:id="3" w:name="_Hlk205287184"/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58" w:type="dxa"/>
            <w:tcBorders>
              <w:left w:val="single" w:color="auto" w:sz="4" w:space="0"/>
            </w:tcBorders>
            <w:vAlign w:val="center"/>
          </w:tcPr>
          <w:p w14:paraId="4D91365A">
            <w:pPr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热菜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规定主料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自选作品1款</w:t>
            </w:r>
          </w:p>
        </w:tc>
        <w:tc>
          <w:tcPr>
            <w:tcW w:w="1500" w:type="dxa"/>
            <w:vMerge w:val="continue"/>
            <w:tcBorders>
              <w:left w:val="single" w:color="auto" w:sz="4" w:space="0"/>
            </w:tcBorders>
            <w:vAlign w:val="center"/>
          </w:tcPr>
          <w:p w14:paraId="2A2E8332"/>
        </w:tc>
        <w:tc>
          <w:tcPr>
            <w:tcW w:w="961" w:type="dxa"/>
            <w:tcBorders>
              <w:left w:val="single" w:color="auto" w:sz="4" w:space="0"/>
            </w:tcBorders>
            <w:vAlign w:val="center"/>
          </w:tcPr>
          <w:p w14:paraId="5C066269">
            <w:pPr>
              <w:widowControl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%</w:t>
            </w:r>
          </w:p>
        </w:tc>
      </w:tr>
      <w:bookmarkEnd w:id="3"/>
    </w:tbl>
    <w:p w14:paraId="3177CD53">
      <w:pPr>
        <w:spacing w:line="360" w:lineRule="auto"/>
        <w:ind w:firstLine="48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bCs/>
          <w:sz w:val="32"/>
          <w:szCs w:val="32"/>
        </w:rPr>
        <w:t>竞赛内容及要求</w:t>
      </w:r>
    </w:p>
    <w:p w14:paraId="57F77E84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本项目要求参赛选手在规定时间内按规程要求完成</w:t>
      </w:r>
      <w:bookmarkStart w:id="4" w:name="OLE_LINK8"/>
      <w:bookmarkStart w:id="5" w:name="OLE_LINK7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相关</w:t>
      </w:r>
      <w:r>
        <w:rPr>
          <w:rFonts w:hint="eastAsia" w:ascii="仿宋" w:hAnsi="仿宋" w:eastAsia="仿宋" w:cs="仿宋"/>
          <w:kern w:val="0"/>
          <w:sz w:val="32"/>
          <w:szCs w:val="32"/>
        </w:rPr>
        <w:t>作品</w:t>
      </w:r>
      <w:bookmarkEnd w:id="4"/>
      <w:bookmarkEnd w:id="5"/>
      <w:r>
        <w:rPr>
          <w:rFonts w:hint="eastAsia" w:ascii="仿宋" w:hAnsi="仿宋" w:eastAsia="仿宋" w:cs="仿宋"/>
          <w:kern w:val="0"/>
          <w:sz w:val="32"/>
          <w:szCs w:val="32"/>
        </w:rPr>
        <w:t>的制作。</w:t>
      </w:r>
    </w:p>
    <w:p w14:paraId="3E9EB2C6">
      <w:pPr>
        <w:spacing w:line="360" w:lineRule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bookmarkStart w:id="6" w:name="OLE_LINK5"/>
      <w:bookmarkStart w:id="7" w:name="OLE_LINK6"/>
      <w:r>
        <w:rPr>
          <w:rFonts w:hint="eastAsia" w:ascii="仿宋" w:hAnsi="仿宋" w:eastAsia="仿宋" w:cs="仿宋"/>
          <w:sz w:val="32"/>
          <w:szCs w:val="32"/>
        </w:rPr>
        <w:t>温州</w:t>
      </w:r>
      <w:bookmarkEnd w:id="6"/>
      <w:bookmarkEnd w:id="7"/>
      <w:r>
        <w:rPr>
          <w:rFonts w:hint="eastAsia" w:ascii="仿宋" w:hAnsi="仿宋" w:eastAsia="仿宋" w:cs="仿宋"/>
          <w:sz w:val="32"/>
          <w:szCs w:val="32"/>
          <w:lang w:eastAsia="zh-CN"/>
        </w:rPr>
        <w:t>龙凤狮虎盘</w:t>
      </w:r>
      <w:r>
        <w:rPr>
          <w:rFonts w:hint="eastAsia" w:ascii="仿宋" w:hAnsi="仿宋" w:eastAsia="仿宋" w:cs="仿宋"/>
          <w:sz w:val="32"/>
          <w:szCs w:val="32"/>
        </w:rPr>
        <w:t>作品4只双拼四味小碟</w:t>
      </w:r>
    </w:p>
    <w:p w14:paraId="576647D3">
      <w:pPr>
        <w:spacing w:line="360" w:lineRule="auto"/>
        <w:ind w:firstLine="48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（1）根据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温州</w:t>
      </w:r>
      <w:r>
        <w:rPr>
          <w:rFonts w:hint="eastAsia" w:ascii="仿宋" w:hAnsi="仿宋" w:eastAsia="仿宋" w:cs="仿宋"/>
          <w:kern w:val="0"/>
          <w:sz w:val="32"/>
          <w:szCs w:val="32"/>
        </w:rPr>
        <w:t>地方特色，制作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龙凤狮虎</w:t>
      </w:r>
      <w:r>
        <w:rPr>
          <w:rFonts w:hint="eastAsia" w:ascii="仿宋" w:hAnsi="仿宋" w:eastAsia="仿宋" w:cs="仿宋"/>
          <w:kern w:val="0"/>
          <w:sz w:val="32"/>
          <w:szCs w:val="32"/>
        </w:rPr>
        <w:t>冷拼，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、盘子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选手</w:t>
      </w:r>
      <w:r>
        <w:rPr>
          <w:rFonts w:hint="eastAsia" w:ascii="仿宋" w:hAnsi="仿宋" w:eastAsia="仿宋" w:cs="仿宋"/>
          <w:kern w:val="0"/>
          <w:sz w:val="32"/>
          <w:szCs w:val="32"/>
        </w:rPr>
        <w:t>自带。</w:t>
      </w:r>
      <w:bookmarkStart w:id="8" w:name="OLE_LINK9"/>
      <w:bookmarkStart w:id="9" w:name="OLE_LINK10"/>
      <w:r>
        <w:rPr>
          <w:rFonts w:hint="eastAsia" w:ascii="仿宋" w:hAnsi="仿宋" w:eastAsia="仿宋" w:cs="仿宋"/>
          <w:kern w:val="0"/>
          <w:sz w:val="32"/>
          <w:szCs w:val="32"/>
        </w:rPr>
        <w:t>要求每盘原料不同，手法各异，</w:t>
      </w:r>
      <w:bookmarkEnd w:id="8"/>
      <w:bookmarkEnd w:id="9"/>
      <w:r>
        <w:rPr>
          <w:rFonts w:hint="eastAsia" w:ascii="仿宋" w:hAnsi="仿宋" w:eastAsia="仿宋" w:cs="仿宋"/>
          <w:kern w:val="0"/>
          <w:sz w:val="32"/>
          <w:szCs w:val="32"/>
        </w:rPr>
        <w:t>不得携带使用已经切配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成块、片、丝</w:t>
      </w:r>
      <w:r>
        <w:rPr>
          <w:rFonts w:hint="eastAsia" w:ascii="仿宋" w:hAnsi="仿宋" w:eastAsia="仿宋" w:cs="仿宋"/>
          <w:kern w:val="0"/>
          <w:sz w:val="32"/>
          <w:szCs w:val="32"/>
        </w:rPr>
        <w:t>的原料。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自带</w:t>
      </w:r>
      <w:r>
        <w:rPr>
          <w:rFonts w:hint="eastAsia" w:ascii="仿宋" w:hAnsi="仿宋" w:eastAsia="仿宋" w:cs="仿宋"/>
          <w:kern w:val="0"/>
          <w:sz w:val="32"/>
          <w:szCs w:val="32"/>
        </w:rPr>
        <w:t>原料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可提前加热成熟</w:t>
      </w:r>
      <w:r>
        <w:rPr>
          <w:rFonts w:hint="eastAsia" w:ascii="仿宋" w:hAnsi="仿宋" w:eastAsia="仿宋" w:cs="仿宋"/>
          <w:kern w:val="0"/>
          <w:sz w:val="32"/>
          <w:szCs w:val="32"/>
        </w:rPr>
        <w:t>携带入场。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（龙凤狮虎盘头尾及脚爪等装饰可提前准备好带入场内，可用果蔬雕刻、米塑、糖艺等不同方式呈现）</w:t>
      </w:r>
    </w:p>
    <w:p w14:paraId="24F0B36A">
      <w:pPr>
        <w:spacing w:line="360" w:lineRule="auto"/>
        <w:ind w:firstLine="48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四味小碟作品替代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龙凤狮虎</w:t>
      </w:r>
      <w:r>
        <w:rPr>
          <w:rFonts w:hint="eastAsia" w:ascii="仿宋" w:hAnsi="仿宋" w:eastAsia="仿宋" w:cs="仿宋"/>
          <w:kern w:val="0"/>
          <w:sz w:val="32"/>
          <w:szCs w:val="32"/>
        </w:rPr>
        <w:t>盘双拼原料直接拼摆的器皿上，不另外准备器皿。要求每盘原料自选且不同，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拼摆</w:t>
      </w:r>
      <w:r>
        <w:rPr>
          <w:rFonts w:hint="eastAsia" w:ascii="仿宋" w:hAnsi="仿宋" w:eastAsia="仿宋" w:cs="仿宋"/>
          <w:kern w:val="0"/>
          <w:sz w:val="32"/>
          <w:szCs w:val="32"/>
        </w:rPr>
        <w:t>手法各异。</w:t>
      </w:r>
    </w:p>
    <w:p w14:paraId="254B873F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（2）作品要求有创新理念，刀工精细、色彩搭配合理。</w:t>
      </w:r>
    </w:p>
    <w:p w14:paraId="76C137A0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（3）原料搭配合理，注重实用，易于推广。</w:t>
      </w:r>
    </w:p>
    <w:p w14:paraId="0FBB955D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（4）每盘作品应满足10人量。</w:t>
      </w:r>
    </w:p>
    <w:p w14:paraId="3A078682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（5）盛装器皿自带（盘子不得有酒店标识）。</w:t>
      </w:r>
    </w:p>
    <w:p w14:paraId="4F2EE0FC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（6）赛场配备墩头1个、白毛巾1块。</w:t>
      </w:r>
    </w:p>
    <w:p w14:paraId="4775EDCA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（7）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该项</w:t>
      </w:r>
      <w:r>
        <w:rPr>
          <w:rFonts w:hint="eastAsia" w:ascii="仿宋" w:hAnsi="仿宋" w:eastAsia="仿宋" w:cs="仿宋"/>
          <w:kern w:val="0"/>
          <w:sz w:val="32"/>
          <w:szCs w:val="32"/>
        </w:rPr>
        <w:t>合计时间为1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0分钟。</w:t>
      </w:r>
    </w:p>
    <w:tbl>
      <w:tblPr>
        <w:tblStyle w:val="13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86"/>
        <w:gridCol w:w="4079"/>
        <w:gridCol w:w="1549"/>
      </w:tblGrid>
      <w:tr w14:paraId="3C1D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E69EB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</w:t>
            </w:r>
          </w:p>
        </w:tc>
        <w:tc>
          <w:tcPr>
            <w:tcW w:w="40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859B1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扣分内容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1BAC1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扣分额度</w:t>
            </w:r>
          </w:p>
        </w:tc>
      </w:tr>
      <w:tr w14:paraId="3A3D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BE2A"/>
        </w:tc>
        <w:tc>
          <w:tcPr>
            <w:tcW w:w="40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4517A"/>
        </w:tc>
        <w:tc>
          <w:tcPr>
            <w:tcW w:w="15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4AB26"/>
        </w:tc>
      </w:tr>
      <w:tr w14:paraId="0E3A7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B634F53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感</w:t>
            </w:r>
          </w:p>
          <w:p w14:paraId="05599BA3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官</w:t>
            </w:r>
          </w:p>
          <w:p w14:paraId="7AA40939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评</w:t>
            </w:r>
          </w:p>
          <w:p w14:paraId="36AF702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18E6093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</w:p>
          <w:p w14:paraId="5D31FC8B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形态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7DD62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主料色泽不够突出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6E69B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1-2</w:t>
            </w:r>
          </w:p>
        </w:tc>
      </w:tr>
      <w:tr w14:paraId="76A7D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B13CA7E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C2A7EAA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8A67F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单一或混乱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50B7F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3570F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C7E640D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729A0F90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84BE0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搭配不佳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4E7E6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  <w:tr w14:paraId="76DE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F46F216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8A3F119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04053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有污染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A8E7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048C9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3A00891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645EF5F4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304E5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作品造型</w:t>
            </w:r>
            <w:r>
              <w:rPr>
                <w:rFonts w:hint="eastAsia" w:ascii="仿宋" w:hAnsi="仿宋" w:eastAsia="仿宋" w:cs="仿宋"/>
                <w:szCs w:val="21"/>
              </w:rPr>
              <w:t>不完整，破损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34A22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3-5</w:t>
            </w:r>
          </w:p>
        </w:tc>
      </w:tr>
      <w:tr w14:paraId="1974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0B793A4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6CF73454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1EBD5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外表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明显缺陷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72E7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3-10</w:t>
            </w:r>
          </w:p>
        </w:tc>
      </w:tr>
      <w:tr w14:paraId="689A5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192D621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E35B8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C2D95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形态不正、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形态欠佳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1100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42CEC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2EB1A42"/>
        </w:tc>
        <w:tc>
          <w:tcPr>
            <w:tcW w:w="108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46DD32E"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E9A47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作</w:t>
            </w:r>
            <w:r>
              <w:rPr>
                <w:rFonts w:hint="eastAsia" w:ascii="仿宋" w:hAnsi="仿宋" w:eastAsia="仿宋" w:cs="仿宋"/>
                <w:szCs w:val="21"/>
              </w:rPr>
              <w:t>品不美观，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造型偏差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9A538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3-10</w:t>
            </w:r>
          </w:p>
        </w:tc>
      </w:tr>
      <w:tr w14:paraId="3E4B4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D02463A"/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55F1C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工艺</w:t>
            </w:r>
          </w:p>
          <w:p w14:paraId="3A62F06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火候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C9330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生或者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夹生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B37F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10-20</w:t>
            </w:r>
          </w:p>
        </w:tc>
      </w:tr>
      <w:tr w14:paraId="4B35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C60B405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3BD17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E792E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原料</w:t>
            </w:r>
            <w:r>
              <w:rPr>
                <w:rFonts w:hint="eastAsia" w:ascii="仿宋" w:hAnsi="仿宋" w:eastAsia="仿宋" w:cs="仿宋"/>
                <w:szCs w:val="21"/>
              </w:rPr>
              <w:t>内部组织不好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ACA3F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75B4A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737050E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B02FC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D34A4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火候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处理</w:t>
            </w:r>
            <w:r>
              <w:rPr>
                <w:rFonts w:hint="eastAsia" w:ascii="仿宋" w:hAnsi="仿宋" w:eastAsia="仿宋" w:cs="仿宋"/>
                <w:szCs w:val="21"/>
              </w:rPr>
              <w:t>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D6BF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7E343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E5FFD80"/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E2F75D4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口味</w:t>
            </w:r>
          </w:p>
          <w:p w14:paraId="07B66D53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口感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B7B90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缺乏应有的风味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41861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2EBA9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3EA138F"/>
        </w:tc>
        <w:tc>
          <w:tcPr>
            <w:tcW w:w="10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E42F078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9C84C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调味不当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B19CF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0915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10920B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F0EAC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7F59A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所用原料</w:t>
            </w:r>
            <w:r>
              <w:rPr>
                <w:rFonts w:hint="eastAsia" w:ascii="仿宋" w:hAnsi="仿宋" w:eastAsia="仿宋" w:cs="仿宋"/>
                <w:szCs w:val="21"/>
              </w:rPr>
              <w:t>有异味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4C01F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00609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A422FF1"/>
        </w:tc>
        <w:tc>
          <w:tcPr>
            <w:tcW w:w="10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7500A5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创意</w:t>
            </w:r>
          </w:p>
          <w:p w14:paraId="623355A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实用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26B9D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设计不当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347F7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  <w:tr w14:paraId="68F9E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1DDDD43"/>
        </w:tc>
        <w:tc>
          <w:tcPr>
            <w:tcW w:w="10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C7A2FF2"/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AED0E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食用性不强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41D22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</w:tbl>
    <w:p w14:paraId="6D810490">
      <w:pPr>
        <w:pStyle w:val="2"/>
        <w:rPr>
          <w:rFonts w:hint="eastAsia"/>
        </w:rPr>
      </w:pPr>
    </w:p>
    <w:p w14:paraId="715E21A2">
      <w:pPr>
        <w:spacing w:line="36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.热菜规定作品</w:t>
      </w:r>
    </w:p>
    <w:p w14:paraId="2C3D4D06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规定选手制作“锦绣鱼丝”、“油条腰花”两道菜肴</w:t>
      </w:r>
    </w:p>
    <w:p w14:paraId="415EF488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（2）现场提供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宰杀处理后的黑鱼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1条（净重约2斤）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猪腰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2个（约400克）、油条1根、</w:t>
      </w:r>
      <w:r>
        <w:rPr>
          <w:rFonts w:hint="eastAsia" w:ascii="仿宋" w:hAnsi="仿宋" w:eastAsia="仿宋" w:cs="仿宋"/>
          <w:kern w:val="0"/>
          <w:sz w:val="32"/>
          <w:szCs w:val="32"/>
        </w:rPr>
        <w:t>鸡蛋1个、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青椒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1个、红椒1个、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小葱、生姜、大蒜头、常用调料（精盐、味精、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白糖、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料酒、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米醋、酱油、</w:t>
      </w:r>
      <w:r>
        <w:rPr>
          <w:rFonts w:hint="eastAsia" w:ascii="仿宋" w:hAnsi="仿宋" w:eastAsia="仿宋" w:cs="仿宋"/>
          <w:kern w:val="0"/>
          <w:sz w:val="32"/>
          <w:szCs w:val="32"/>
        </w:rPr>
        <w:t>风车牌淀粉）及色拉油。不得使用自带原料。</w:t>
      </w:r>
    </w:p>
    <w:p w14:paraId="0FD4DF84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</w:t>
      </w:r>
      <w:r>
        <w:rPr>
          <w:rFonts w:ascii="仿宋" w:hAnsi="仿宋" w:eastAsia="仿宋" w:cs="仿宋"/>
          <w:kern w:val="0"/>
          <w:sz w:val="32"/>
          <w:szCs w:val="32"/>
        </w:rPr>
        <w:t>作品应满足合理损耗，油条腰花要求腰花最终成品需达断生。</w:t>
      </w:r>
    </w:p>
    <w:p w14:paraId="32ED7C8F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（4）现场提供直径25cm白色圆平盘为作品的盛装器皿</w:t>
      </w:r>
      <w:r>
        <w:rPr>
          <w:rFonts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装盘时不作任何点缀。</w:t>
      </w:r>
    </w:p>
    <w:p w14:paraId="43F76A80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（5）赛场提供常规设备：燃气中式炒灶1台、单柄炒锅1只、直径40cm双耳锅1只、手勺1把，漏勺1把、木质墩头1个、白毛巾1块。</w:t>
      </w:r>
    </w:p>
    <w:p w14:paraId="336E2333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（6）选手仅携带刀具和必要的小工具入场。</w:t>
      </w:r>
    </w:p>
    <w:p w14:paraId="1CD35812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（7）热菜规定作品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kern w:val="0"/>
          <w:sz w:val="32"/>
          <w:szCs w:val="32"/>
        </w:rPr>
        <w:t>单独计时，时间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通用</w:t>
      </w:r>
      <w:r>
        <w:rPr>
          <w:rFonts w:hint="eastAsia" w:ascii="仿宋" w:hAnsi="仿宋" w:eastAsia="仿宋" w:cs="仿宋"/>
          <w:kern w:val="0"/>
          <w:sz w:val="32"/>
          <w:szCs w:val="32"/>
        </w:rPr>
        <w:t>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分钟。</w:t>
      </w:r>
    </w:p>
    <w:tbl>
      <w:tblPr>
        <w:tblStyle w:val="13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86"/>
        <w:gridCol w:w="4079"/>
        <w:gridCol w:w="1549"/>
      </w:tblGrid>
      <w:tr w14:paraId="7AF7A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88B5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</w:t>
            </w:r>
          </w:p>
        </w:tc>
        <w:tc>
          <w:tcPr>
            <w:tcW w:w="40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BB1C0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扣分内容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4866E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扣分额度</w:t>
            </w:r>
          </w:p>
        </w:tc>
      </w:tr>
      <w:tr w14:paraId="062E4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1E613"/>
        </w:tc>
        <w:tc>
          <w:tcPr>
            <w:tcW w:w="40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B4568"/>
        </w:tc>
        <w:tc>
          <w:tcPr>
            <w:tcW w:w="15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1DA7E"/>
        </w:tc>
      </w:tr>
      <w:tr w14:paraId="34EED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28CE8F2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感</w:t>
            </w:r>
          </w:p>
          <w:p w14:paraId="57270FBB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官</w:t>
            </w:r>
          </w:p>
          <w:p w14:paraId="28CD202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评</w:t>
            </w:r>
          </w:p>
          <w:p w14:paraId="0BCB6A81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047CEB1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</w:p>
          <w:p w14:paraId="21D3FAA5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形态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891E9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鱼丝色泽不够洁白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B3D2E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1-2</w:t>
            </w:r>
          </w:p>
        </w:tc>
      </w:tr>
      <w:tr w14:paraId="78238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53EB00B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2A946ACC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4E5B0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腰花作品色泽过浅或过深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1D616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2691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F13DBA2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062C14B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1F2B9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主辅材料</w:t>
            </w:r>
            <w:r>
              <w:rPr>
                <w:rFonts w:hint="eastAsia" w:ascii="仿宋" w:hAnsi="仿宋" w:eastAsia="仿宋" w:cs="仿宋"/>
                <w:szCs w:val="21"/>
              </w:rPr>
              <w:t>色泽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搭配不佳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8870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  <w:tr w14:paraId="0319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72A710A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C6B19B2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4FF2A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有污染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7FCD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61DCF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C9D38C2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758D1195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0E3C7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装盘造型</w:t>
            </w:r>
            <w:r>
              <w:rPr>
                <w:rFonts w:hint="eastAsia" w:ascii="仿宋" w:hAnsi="仿宋" w:eastAsia="仿宋" w:cs="仿宋"/>
                <w:szCs w:val="21"/>
              </w:rPr>
              <w:t>不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美观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98328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3-5</w:t>
            </w:r>
          </w:p>
        </w:tc>
      </w:tr>
      <w:tr w14:paraId="5E4CA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7AD5863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3870EA59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0F2E8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鱼丝及腰花处理明显缺陷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B9FE1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3-10</w:t>
            </w:r>
          </w:p>
        </w:tc>
      </w:tr>
      <w:tr w14:paraId="11CD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BC2E583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AF362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EF8B1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成品</w:t>
            </w:r>
            <w:r>
              <w:rPr>
                <w:rFonts w:hint="eastAsia" w:ascii="仿宋" w:hAnsi="仿宋" w:eastAsia="仿宋" w:cs="仿宋"/>
                <w:szCs w:val="21"/>
              </w:rPr>
              <w:t>形态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欠佳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0B68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74D0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E8CA4E1"/>
        </w:tc>
        <w:tc>
          <w:tcPr>
            <w:tcW w:w="108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703B379"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CC75B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作</w:t>
            </w:r>
            <w:r>
              <w:rPr>
                <w:rFonts w:hint="eastAsia" w:ascii="仿宋" w:hAnsi="仿宋" w:eastAsia="仿宋" w:cs="仿宋"/>
                <w:szCs w:val="21"/>
              </w:rPr>
              <w:t>品不美观，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刀工处理不当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1B497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3-10</w:t>
            </w:r>
          </w:p>
        </w:tc>
      </w:tr>
      <w:tr w14:paraId="3A577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3532317"/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7BE26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工艺</w:t>
            </w:r>
          </w:p>
          <w:p w14:paraId="68A7FE98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火候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6B10C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生或者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夹生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A9256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10-20</w:t>
            </w:r>
          </w:p>
        </w:tc>
      </w:tr>
      <w:tr w14:paraId="1E23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6F37252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39E1A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34D7E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熟处理工艺偏差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2D7F5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4CE66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1A854B2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E345F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18077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火候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处理</w:t>
            </w:r>
            <w:r>
              <w:rPr>
                <w:rFonts w:hint="eastAsia" w:ascii="仿宋" w:hAnsi="仿宋" w:eastAsia="仿宋" w:cs="仿宋"/>
                <w:szCs w:val="21"/>
              </w:rPr>
              <w:t>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6869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5243D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AFA8BBA"/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235B434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口味</w:t>
            </w:r>
          </w:p>
          <w:p w14:paraId="2B646AE9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口感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A71CE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缺乏应有的风味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50D2E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1A601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57118DA"/>
        </w:tc>
        <w:tc>
          <w:tcPr>
            <w:tcW w:w="10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1EC1116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ED644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调味不当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8D839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5B924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0F5F045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76EC8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81AB4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作品整体味型有误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4C919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4ED76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98D4475"/>
        </w:tc>
        <w:tc>
          <w:tcPr>
            <w:tcW w:w="10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89AF761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创意</w:t>
            </w:r>
          </w:p>
          <w:p w14:paraId="050303BC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实用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F4211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设计不当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76F9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  <w:tr w14:paraId="136C0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181D781"/>
        </w:tc>
        <w:tc>
          <w:tcPr>
            <w:tcW w:w="10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D44B64"/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8BB98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食用性不强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BB2B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</w:tbl>
    <w:p w14:paraId="2B20BD16">
      <w:pPr>
        <w:pStyle w:val="2"/>
        <w:rPr>
          <w:rFonts w:hint="eastAsia"/>
        </w:rPr>
      </w:pPr>
    </w:p>
    <w:p w14:paraId="75864AEB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.热菜规定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主</w:t>
      </w:r>
      <w:r>
        <w:rPr>
          <w:rFonts w:hint="eastAsia" w:ascii="仿宋" w:hAnsi="仿宋" w:eastAsia="仿宋" w:cs="仿宋"/>
          <w:kern w:val="0"/>
          <w:sz w:val="32"/>
          <w:szCs w:val="32"/>
        </w:rPr>
        <w:t>料自选作品1款</w:t>
      </w:r>
    </w:p>
    <w:p w14:paraId="4160117F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（1）辅料、调味品、器皿盘饰自带</w:t>
      </w:r>
    </w:p>
    <w:p w14:paraId="5B0F1E43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注意：选手根据本人设计的菜肴需求，自带辅料。不得使用自带主料、不得使用模具加工菜肴。</w:t>
      </w:r>
    </w:p>
    <w:p w14:paraId="4A034BDE">
      <w:pPr>
        <w:pStyle w:val="2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（2）现场提供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黄鱼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1条（约2斤）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、小葱、生姜、大蒜头、常用调料（精盐、味精、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白糖、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料酒、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米醋、酱油、</w:t>
      </w:r>
      <w:r>
        <w:rPr>
          <w:rFonts w:hint="eastAsia" w:ascii="仿宋" w:hAnsi="仿宋" w:eastAsia="仿宋" w:cs="仿宋"/>
          <w:kern w:val="0"/>
          <w:sz w:val="32"/>
          <w:szCs w:val="32"/>
        </w:rPr>
        <w:t>风车牌淀粉）及色拉油。</w:t>
      </w:r>
    </w:p>
    <w:p w14:paraId="771DF884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（3）规定主料自选作品的烹调方法应有所区别，体现温州地方特色，注重实用和创新。</w:t>
      </w:r>
    </w:p>
    <w:p w14:paraId="4CA7E7B1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（4）作品应满足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人食用量（位上6人份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，其中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4份用于展示，2份供评委打分</w:t>
      </w:r>
      <w:r>
        <w:rPr>
          <w:rFonts w:hint="eastAsia" w:ascii="仿宋" w:hAnsi="仿宋" w:eastAsia="仿宋" w:cs="仿宋"/>
          <w:kern w:val="0"/>
          <w:sz w:val="32"/>
          <w:szCs w:val="32"/>
        </w:rPr>
        <w:t>）。</w:t>
      </w:r>
    </w:p>
    <w:p w14:paraId="7D50C590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（5）作品的盛装器皿自带，菜肴盛器内的装饰物应可直接食用，所有装饰物须在场内制作完成。</w:t>
      </w:r>
    </w:p>
    <w:p w14:paraId="21B14B38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（6）赛场提供常规设备：每位选手天然气中式炒灶1台、单柄炒锅1只、直径40cm双耳锅1只、手勺1只，漏勺1只、木质墩头1个、白毛巾1块，蒸笼（3底、1盖，直径约30cm）个人工位不提供电源。</w:t>
      </w:r>
    </w:p>
    <w:p w14:paraId="0168DB1C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（7）选手仅携带刀具和必要的小工具入场。不得自行携带电动工具入场。特殊工具须提前申请带入考场统一加工区。</w:t>
      </w:r>
    </w:p>
    <w:p w14:paraId="05B180DF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（8）考场设统一加工区提供电源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BDDE87E"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（9）</w:t>
      </w:r>
      <w:bookmarkStart w:id="10" w:name="OLE_LINK11"/>
      <w:bookmarkStart w:id="11" w:name="OLE_LINK2"/>
      <w:r>
        <w:rPr>
          <w:rFonts w:hint="eastAsia" w:ascii="仿宋" w:hAnsi="仿宋" w:eastAsia="仿宋" w:cs="仿宋"/>
          <w:kern w:val="0"/>
          <w:sz w:val="32"/>
          <w:szCs w:val="32"/>
        </w:rPr>
        <w:t>热菜规定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主料自选</w:t>
      </w:r>
      <w:r>
        <w:rPr>
          <w:rFonts w:hint="eastAsia" w:ascii="仿宋" w:hAnsi="仿宋" w:eastAsia="仿宋" w:cs="仿宋"/>
          <w:kern w:val="0"/>
          <w:sz w:val="32"/>
          <w:szCs w:val="32"/>
        </w:rPr>
        <w:t>作品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kern w:val="0"/>
          <w:sz w:val="32"/>
          <w:szCs w:val="32"/>
        </w:rPr>
        <w:t>单独计时，时间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通用</w:t>
      </w:r>
      <w:r>
        <w:rPr>
          <w:rFonts w:hint="eastAsia" w:ascii="仿宋" w:hAnsi="仿宋" w:eastAsia="仿宋" w:cs="仿宋"/>
          <w:kern w:val="0"/>
          <w:sz w:val="32"/>
          <w:szCs w:val="32"/>
        </w:rPr>
        <w:t>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分钟</w:t>
      </w:r>
      <w:bookmarkEnd w:id="10"/>
      <w:bookmarkEnd w:id="11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，且该项热菜作品必须等前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2项规定热菜完成送评后方可开始操作。</w:t>
      </w:r>
    </w:p>
    <w:tbl>
      <w:tblPr>
        <w:tblStyle w:val="13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86"/>
        <w:gridCol w:w="4079"/>
        <w:gridCol w:w="1549"/>
      </w:tblGrid>
      <w:tr w14:paraId="5B6C9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30FCF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</w:t>
            </w:r>
          </w:p>
        </w:tc>
        <w:tc>
          <w:tcPr>
            <w:tcW w:w="40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78293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扣分内容</w:t>
            </w:r>
          </w:p>
        </w:tc>
        <w:tc>
          <w:tcPr>
            <w:tcW w:w="1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2A421">
            <w:pPr>
              <w:spacing w:line="274" w:lineRule="auto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扣分额度</w:t>
            </w:r>
          </w:p>
        </w:tc>
      </w:tr>
      <w:tr w14:paraId="76B9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BC62"/>
        </w:tc>
        <w:tc>
          <w:tcPr>
            <w:tcW w:w="40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B09BA"/>
        </w:tc>
        <w:tc>
          <w:tcPr>
            <w:tcW w:w="154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3EA27"/>
        </w:tc>
      </w:tr>
      <w:tr w14:paraId="511F1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A164917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感</w:t>
            </w:r>
          </w:p>
          <w:p w14:paraId="7ABF1921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官</w:t>
            </w:r>
          </w:p>
          <w:p w14:paraId="355E13DE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评</w:t>
            </w:r>
          </w:p>
          <w:p w14:paraId="729EB6EE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6AE06615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</w:p>
          <w:p w14:paraId="538768CF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形态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5E50E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主料色泽不够突出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37BD9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1-2</w:t>
            </w:r>
          </w:p>
        </w:tc>
      </w:tr>
      <w:tr w14:paraId="2C998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15D8D6A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36EA9CC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EAF4A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单一或混乱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F6DC6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61548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16153C3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49FA3BA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01A8A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色泽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搭配不佳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AFF92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  <w:tr w14:paraId="6E9C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8C3B637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A056861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85725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有污染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D7977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7895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97E435A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35CD74C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14532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作品造型</w:t>
            </w:r>
            <w:r>
              <w:rPr>
                <w:rFonts w:hint="eastAsia" w:ascii="仿宋" w:hAnsi="仿宋" w:eastAsia="仿宋" w:cs="仿宋"/>
                <w:szCs w:val="21"/>
              </w:rPr>
              <w:t>不完整，破损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08423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3-5</w:t>
            </w:r>
          </w:p>
        </w:tc>
      </w:tr>
      <w:tr w14:paraId="2124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70501A8"/>
        </w:tc>
        <w:tc>
          <w:tcPr>
            <w:tcW w:w="1086" w:type="dxa"/>
            <w:vMerge w:val="continue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D9CF8A7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0E4D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外表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明显缺陷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FE244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3-10</w:t>
            </w:r>
          </w:p>
        </w:tc>
      </w:tr>
      <w:tr w14:paraId="44EAE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E358AEB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C3D05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D8136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形态不正、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形态欠佳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8420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4A47D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943A00B"/>
        </w:tc>
        <w:tc>
          <w:tcPr>
            <w:tcW w:w="108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761DE2A"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606AF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作</w:t>
            </w:r>
            <w:r>
              <w:rPr>
                <w:rFonts w:hint="eastAsia" w:ascii="仿宋" w:hAnsi="仿宋" w:eastAsia="仿宋" w:cs="仿宋"/>
                <w:szCs w:val="21"/>
              </w:rPr>
              <w:t>品不美观，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造型偏差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E056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3-10</w:t>
            </w:r>
          </w:p>
        </w:tc>
      </w:tr>
      <w:tr w14:paraId="03102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9234C98"/>
        </w:tc>
        <w:tc>
          <w:tcPr>
            <w:tcW w:w="108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73E88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工艺</w:t>
            </w:r>
          </w:p>
          <w:p w14:paraId="2A7D4322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火候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1BD29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生或者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夹生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31D7C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10-20</w:t>
            </w:r>
          </w:p>
        </w:tc>
      </w:tr>
      <w:tr w14:paraId="4C61D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AE49129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FB7A8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55142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原料</w:t>
            </w:r>
            <w:r>
              <w:rPr>
                <w:rFonts w:hint="eastAsia" w:ascii="仿宋" w:hAnsi="仿宋" w:eastAsia="仿宋" w:cs="仿宋"/>
                <w:szCs w:val="21"/>
              </w:rPr>
              <w:t>内部组织不好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B0E1E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2-5</w:t>
            </w:r>
          </w:p>
        </w:tc>
      </w:tr>
      <w:tr w14:paraId="0FC6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22192F3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E8ABB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78D15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火候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处理</w:t>
            </w:r>
            <w:r>
              <w:rPr>
                <w:rFonts w:hint="eastAsia" w:ascii="仿宋" w:hAnsi="仿宋" w:eastAsia="仿宋" w:cs="仿宋"/>
                <w:szCs w:val="21"/>
              </w:rPr>
              <w:t>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56D60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71D7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4D09610"/>
        </w:tc>
        <w:tc>
          <w:tcPr>
            <w:tcW w:w="10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AB618E5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口味</w:t>
            </w:r>
          </w:p>
          <w:p w14:paraId="08ED7103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口感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92817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缺乏应有的风味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FAC27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4D960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83631F9"/>
        </w:tc>
        <w:tc>
          <w:tcPr>
            <w:tcW w:w="10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D793AAE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229B9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调味不当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88BEA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43B2D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5D92730"/>
        </w:tc>
        <w:tc>
          <w:tcPr>
            <w:tcW w:w="108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21FDF"/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8EB7C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所用原料</w:t>
            </w:r>
            <w:r>
              <w:rPr>
                <w:rFonts w:hint="eastAsia" w:ascii="仿宋" w:hAnsi="仿宋" w:eastAsia="仿宋" w:cs="仿宋"/>
                <w:szCs w:val="21"/>
              </w:rPr>
              <w:t>有异味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C650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3-6</w:t>
            </w:r>
          </w:p>
        </w:tc>
      </w:tr>
      <w:tr w14:paraId="505BA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AAE6BE4"/>
        </w:tc>
        <w:tc>
          <w:tcPr>
            <w:tcW w:w="10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7BF458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创意</w:t>
            </w:r>
          </w:p>
          <w:p w14:paraId="02B8058D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实用</w:t>
            </w:r>
          </w:p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FE87D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设计不当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48368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  <w:tr w14:paraId="337C3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4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8E59653"/>
        </w:tc>
        <w:tc>
          <w:tcPr>
            <w:tcW w:w="10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E86F0C7"/>
        </w:tc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FBDAD">
            <w:pPr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食用性不强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A8D42">
            <w:p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1-3</w:t>
            </w:r>
          </w:p>
        </w:tc>
      </w:tr>
    </w:tbl>
    <w:p w14:paraId="3674F360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申请提前加工及自带盘子</w:t>
      </w:r>
    </w:p>
    <w:p w14:paraId="45DF39E6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1、如自带特殊工具必须提前申请，配合申请书带入考场。</w:t>
      </w:r>
    </w:p>
    <w:p w14:paraId="5DC36701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2、可以申请部分原料提前加工、配合申请书带入考场。</w:t>
      </w:r>
    </w:p>
    <w:p w14:paraId="508B357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（四）评判内容</w:t>
      </w:r>
    </w:p>
    <w:p w14:paraId="0FB737DB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【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龙凤狮虎盘</w:t>
      </w:r>
      <w:r>
        <w:rPr>
          <w:rFonts w:hint="eastAsia" w:ascii="仿宋" w:hAnsi="仿宋" w:eastAsia="仿宋" w:cs="仿宋"/>
          <w:kern w:val="0"/>
          <w:sz w:val="32"/>
          <w:szCs w:val="32"/>
        </w:rPr>
        <w:t>】</w:t>
      </w:r>
    </w:p>
    <w:p w14:paraId="46E8EC29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1.操作流程：技法得当，动作娴熟，流程合理，按时完成，操作安全与规范；</w:t>
      </w:r>
    </w:p>
    <w:p w14:paraId="1F6505CB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2.原料加工：用料符合要求，操作熟练，加工规范，原料利用率高；</w:t>
      </w:r>
    </w:p>
    <w:p w14:paraId="45279F1D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3.原料使用：原料“选取”符合菜点设计与制作的要求，品种与数量合理、清晰、准确，做到物尽其用，不浪费，注重节约。净料重量符合要求；</w:t>
      </w:r>
    </w:p>
    <w:p w14:paraId="5EE2821B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4.卫生安全：操作区域整洁干净，注重卫生，废弃物处理得当，原料及作品保存合理。</w:t>
      </w:r>
    </w:p>
    <w:p w14:paraId="24AD9A5A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5.成品要求：造型新颖、美观，刀工娴熟，拼摆得当，有较高的技术技巧；份量准确，每盘作品净料总重量10人份。</w:t>
      </w:r>
    </w:p>
    <w:p w14:paraId="52BD4FBF"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【中餐热菜】</w:t>
      </w:r>
    </w:p>
    <w:p w14:paraId="304014A4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1.操作流程：操作规范，动作娴熟，技法得当，流程合理，投料准确，按时完成，操</w:t>
      </w:r>
      <w:bookmarkStart w:id="15" w:name="_GoBack"/>
      <w:bookmarkEnd w:id="15"/>
      <w:r>
        <w:rPr>
          <w:rFonts w:hint="eastAsia" w:ascii="仿宋" w:hAnsi="仿宋" w:eastAsia="仿宋" w:cs="仿宋"/>
          <w:kern w:val="0"/>
          <w:sz w:val="32"/>
          <w:szCs w:val="32"/>
        </w:rPr>
        <w:t>作安全与规范；</w:t>
      </w:r>
    </w:p>
    <w:p w14:paraId="2C1BFB6F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2.原料加工：用料符合要求，刀功熟练，加工规范，原料利用率高。</w:t>
      </w:r>
    </w:p>
    <w:p w14:paraId="047FC751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3.原料使用：原料“选取”符合菜肴设计与制作的要求，品种与数量合理、清晰、准确，做到物尽其用，不浪费，注重节约；烹饪方式、口味等具有地方特色、注重实用和创新。</w:t>
      </w:r>
    </w:p>
    <w:p w14:paraId="469A0DFE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4.卫生安全：操作区域整洁干净，注重个人卫生，废弃物处理得当，原料及作品保存合理。</w:t>
      </w:r>
    </w:p>
    <w:p w14:paraId="4E909566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5.成品要求：自选菜肴的量能够满足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人食用量（规定菜不少于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50克）。</w:t>
      </w:r>
    </w:p>
    <w:p w14:paraId="35612EAC">
      <w:pPr>
        <w:widowControl/>
        <w:snapToGrid w:val="0"/>
        <w:spacing w:line="360" w:lineRule="auto"/>
        <w:ind w:firstLine="643" w:firstLineChars="200"/>
        <w:rPr>
          <w:rFonts w:hint="eastAsia"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t>六、竞赛规则</w:t>
      </w:r>
    </w:p>
    <w:p w14:paraId="38E31627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1.超时说明</w:t>
      </w:r>
    </w:p>
    <w:p w14:paraId="3A132525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本项目要求参赛选手在规定时间内要求完成竞赛内容，时间一到即刻停止比赛，如超时继续制作则该项内容（作品）作“零分”处理。</w:t>
      </w:r>
    </w:p>
    <w:p w14:paraId="3FC5DB1A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2.检录查验</w:t>
      </w:r>
    </w:p>
    <w:p w14:paraId="72A8F00A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进场前接受查验，除刀具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、文件中符合比赛要求的自带原料及</w:t>
      </w:r>
      <w:r>
        <w:rPr>
          <w:rFonts w:hint="eastAsia" w:ascii="仿宋" w:hAnsi="仿宋" w:eastAsia="仿宋" w:cs="仿宋"/>
          <w:kern w:val="0"/>
          <w:sz w:val="32"/>
          <w:szCs w:val="32"/>
        </w:rPr>
        <w:t>必要的小工具外，任何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无关</w:t>
      </w:r>
      <w:r>
        <w:rPr>
          <w:rFonts w:hint="eastAsia" w:ascii="仿宋" w:hAnsi="仿宋" w:eastAsia="仿宋" w:cs="仿宋"/>
          <w:kern w:val="0"/>
          <w:sz w:val="32"/>
          <w:szCs w:val="32"/>
        </w:rPr>
        <w:t>原料不得带入比赛现场，在赛场内发现违反规定者将取消参赛资格。</w:t>
      </w:r>
    </w:p>
    <w:p w14:paraId="2AF4E28B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3.遵循准则</w:t>
      </w:r>
    </w:p>
    <w:p w14:paraId="5450D2FC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（1）凡参赛选手、评委、工作人员、赛项组织者等均须按照赛项组委会要求准时到达赛项举办地点，及时办理相关手续，领取相关证件，熟悉场地，做好赛前准备工作。</w:t>
      </w:r>
    </w:p>
    <w:p w14:paraId="47AC2635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（2）依据本赛项规定，所有原材料由比赛承办方提供，不得违规夹带。所有工具均需接受检录人员检查和现场裁判员的动态检查。</w:t>
      </w:r>
    </w:p>
    <w:p w14:paraId="2C7C5D56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（3）比赛期间服从赛区指挥，遵守相关规定，按照统一工作部署，及时有效地完成相关任务。</w:t>
      </w:r>
    </w:p>
    <w:p w14:paraId="6CAEBFB8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（4）比赛现场，须穿着统一服装，佩戴相关证件，仪表端正，注重礼仪规范，保持赛场良好秩序。</w:t>
      </w:r>
    </w:p>
    <w:p w14:paraId="278BEE6E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5.注意事项</w:t>
      </w:r>
    </w:p>
    <w:p w14:paraId="4B061971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（1）开赛10分钟后，选手不得进入比赛场地；</w:t>
      </w:r>
    </w:p>
    <w:p w14:paraId="56BD0069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（2）选手工作服、围裙、工作帽统一由大赛组委会提供；</w:t>
      </w:r>
    </w:p>
    <w:p w14:paraId="04206E6C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（3）操作时保持场地、物品的洁净卫生。</w:t>
      </w:r>
    </w:p>
    <w:p w14:paraId="7B55718B">
      <w:pPr>
        <w:widowControl/>
        <w:snapToGrid w:val="0"/>
        <w:spacing w:line="360" w:lineRule="auto"/>
        <w:ind w:firstLine="643" w:firstLineChars="200"/>
        <w:rPr>
          <w:rFonts w:hint="eastAsia" w:ascii="宋体" w:hAnsi="宋体" w:eastAsia="宋体" w:cs="宋体"/>
          <w:b/>
          <w:kern w:val="0"/>
          <w:sz w:val="32"/>
          <w:szCs w:val="32"/>
        </w:rPr>
      </w:pPr>
      <w:bookmarkStart w:id="12" w:name="_Toc438019466"/>
      <w:r>
        <w:rPr>
          <w:rFonts w:hint="eastAsia" w:ascii="宋体" w:hAnsi="宋体" w:eastAsia="宋体" w:cs="宋体"/>
          <w:b/>
          <w:kern w:val="0"/>
          <w:sz w:val="32"/>
          <w:szCs w:val="32"/>
        </w:rPr>
        <w:t>七、</w:t>
      </w:r>
      <w:bookmarkEnd w:id="12"/>
      <w:r>
        <w:rPr>
          <w:rFonts w:hint="eastAsia" w:ascii="宋体" w:hAnsi="宋体" w:eastAsia="宋体" w:cs="宋体"/>
          <w:b/>
          <w:kern w:val="0"/>
          <w:sz w:val="32"/>
          <w:szCs w:val="32"/>
        </w:rPr>
        <w:t>现场违规</w:t>
      </w:r>
    </w:p>
    <w:p w14:paraId="29AD5F9E">
      <w:pPr>
        <w:widowControl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现场裁判员根据选手的违规行为和违纪现象，参照《现场操作违规内容及扣分标准》处理，由裁判长签字确认。《现场操作违规内容及扣分标准》是由现场裁判员对“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龙凤狮虎盘</w:t>
      </w:r>
      <w:r>
        <w:rPr>
          <w:rFonts w:hint="eastAsia" w:ascii="仿宋" w:hAnsi="仿宋" w:eastAsia="仿宋" w:cs="仿宋"/>
          <w:kern w:val="0"/>
          <w:sz w:val="32"/>
          <w:szCs w:val="32"/>
        </w:rPr>
        <w:t>”、“热菜规定作品”、“热菜规定原料自选作品”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</w:rPr>
        <w:t>个项目分别裁判，并纳入各项目的总分 (最高扣除每个作品总分10分，超过10分按10分计) 。</w:t>
      </w:r>
    </w:p>
    <w:p w14:paraId="2C3C4E72">
      <w:pPr>
        <w:widowControl/>
        <w:snapToGrid w:val="0"/>
        <w:spacing w:line="360" w:lineRule="auto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现场操作违规内容及扣分标准</w:t>
      </w:r>
    </w:p>
    <w:tbl>
      <w:tblPr>
        <w:tblStyle w:val="13"/>
        <w:tblW w:w="84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2263"/>
        <w:gridCol w:w="3342"/>
        <w:gridCol w:w="1537"/>
      </w:tblGrid>
      <w:tr w14:paraId="2ED0A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537" w:type="dxa"/>
            <w:gridSpan w:val="2"/>
            <w:tcBorders>
              <w:bottom w:val="single" w:color="auto" w:sz="4" w:space="0"/>
            </w:tcBorders>
            <w:vAlign w:val="center"/>
          </w:tcPr>
          <w:p w14:paraId="196F50E3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bookmarkStart w:id="13" w:name="_Toc438019469"/>
            <w:r>
              <w:rPr>
                <w:rFonts w:hint="eastAsia" w:ascii="仿宋" w:hAnsi="仿宋" w:eastAsia="仿宋" w:cs="仿宋"/>
                <w:b/>
                <w:szCs w:val="21"/>
              </w:rPr>
              <w:t>考核标准</w:t>
            </w:r>
          </w:p>
        </w:tc>
        <w:tc>
          <w:tcPr>
            <w:tcW w:w="487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5F2B5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扣分标准</w:t>
            </w:r>
          </w:p>
        </w:tc>
      </w:tr>
      <w:tr w14:paraId="75F83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restart"/>
            <w:tcBorders>
              <w:top w:val="single" w:color="auto" w:sz="4" w:space="0"/>
            </w:tcBorders>
            <w:vAlign w:val="center"/>
          </w:tcPr>
          <w:p w14:paraId="3D3972AE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  <w:r>
              <w:rPr>
                <w:rFonts w:ascii="仿宋" w:hAnsi="仿宋" w:eastAsia="仿宋" w:cs="仿宋"/>
                <w:kern w:val="0"/>
                <w:szCs w:val="21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仪容</w:t>
            </w:r>
          </w:p>
        </w:tc>
        <w:tc>
          <w:tcPr>
            <w:tcW w:w="2263" w:type="dxa"/>
            <w:vMerge w:val="restart"/>
            <w:tcBorders>
              <w:top w:val="single" w:color="auto" w:sz="4" w:space="0"/>
            </w:tcBorders>
            <w:vAlign w:val="center"/>
          </w:tcPr>
          <w:p w14:paraId="7930C0E9">
            <w:pPr>
              <w:spacing w:line="44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仪容仪表符合行业要求。</w:t>
            </w:r>
          </w:p>
        </w:tc>
        <w:tc>
          <w:tcPr>
            <w:tcW w:w="3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7A3B1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涂带色指甲油</w:t>
            </w:r>
          </w:p>
        </w:tc>
        <w:tc>
          <w:tcPr>
            <w:tcW w:w="1537" w:type="dxa"/>
            <w:tcBorders>
              <w:left w:val="single" w:color="auto" w:sz="4" w:space="0"/>
            </w:tcBorders>
            <w:vAlign w:val="center"/>
          </w:tcPr>
          <w:p w14:paraId="52B05EC9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3695D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47D20C5B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40A50872"/>
        </w:tc>
        <w:tc>
          <w:tcPr>
            <w:tcW w:w="3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B67AF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手上佩戴戒子等首饰</w:t>
            </w:r>
          </w:p>
        </w:tc>
        <w:tc>
          <w:tcPr>
            <w:tcW w:w="1537" w:type="dxa"/>
            <w:tcBorders>
              <w:left w:val="single" w:color="auto" w:sz="4" w:space="0"/>
            </w:tcBorders>
            <w:vAlign w:val="center"/>
          </w:tcPr>
          <w:p w14:paraId="36F8AB09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29272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restart"/>
            <w:vAlign w:val="center"/>
          </w:tcPr>
          <w:p w14:paraId="420CF729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2.着装</w:t>
            </w:r>
          </w:p>
        </w:tc>
        <w:tc>
          <w:tcPr>
            <w:tcW w:w="2263" w:type="dxa"/>
            <w:vMerge w:val="restart"/>
            <w:tcBorders>
              <w:left w:val="single" w:color="000000" w:sz="4" w:space="0"/>
            </w:tcBorders>
            <w:vAlign w:val="center"/>
          </w:tcPr>
          <w:p w14:paraId="0EA24E11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工作服、工作帽整洁，不破损。</w:t>
            </w:r>
          </w:p>
        </w:tc>
        <w:tc>
          <w:tcPr>
            <w:tcW w:w="33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B94B9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不戴厨师帽</w:t>
            </w:r>
          </w:p>
        </w:tc>
        <w:tc>
          <w:tcPr>
            <w:tcW w:w="153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7E04740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3227A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22407E14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451483F3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BB32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不着厨师服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CD036F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扣2分</w:t>
            </w:r>
          </w:p>
        </w:tc>
      </w:tr>
      <w:tr w14:paraId="6D72D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restart"/>
            <w:vAlign w:val="center"/>
          </w:tcPr>
          <w:p w14:paraId="7D91BB06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3.卫生</w:t>
            </w:r>
          </w:p>
        </w:tc>
        <w:tc>
          <w:tcPr>
            <w:tcW w:w="2263" w:type="dxa"/>
            <w:vMerge w:val="restart"/>
            <w:tcBorders>
              <w:left w:val="single" w:color="000000" w:sz="4" w:space="0"/>
            </w:tcBorders>
            <w:vAlign w:val="center"/>
          </w:tcPr>
          <w:p w14:paraId="74854EF7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操作过程符合卫生要求，炊、用具洁净，操作结束后台面、地面卫生干净。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580FE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原料掉落地上后仍直接使用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3FF3DC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扣2分</w:t>
            </w:r>
          </w:p>
        </w:tc>
      </w:tr>
      <w:tr w14:paraId="1A07B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1543F9D8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0BAB1B9C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6832A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操作后各类用具未清洗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1E15A2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76C08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0E7AAB94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6DE253FC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98465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操作后台面未整理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0F06E1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扣2分</w:t>
            </w:r>
          </w:p>
        </w:tc>
      </w:tr>
      <w:tr w14:paraId="0796B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02A266E2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2E730C43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160B3A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操作后地面脏乱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7E11C6F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43146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restart"/>
            <w:vAlign w:val="center"/>
          </w:tcPr>
          <w:p w14:paraId="3B4956EE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4.用料</w:t>
            </w:r>
          </w:p>
        </w:tc>
        <w:tc>
          <w:tcPr>
            <w:tcW w:w="2263" w:type="dxa"/>
            <w:vMerge w:val="restart"/>
            <w:tcBorders>
              <w:left w:val="single" w:color="000000" w:sz="4" w:space="0"/>
            </w:tcBorders>
            <w:vAlign w:val="center"/>
          </w:tcPr>
          <w:p w14:paraId="7B8F1E9F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用料合理，物尽其用。</w:t>
            </w:r>
          </w:p>
        </w:tc>
        <w:tc>
          <w:tcPr>
            <w:tcW w:w="33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B733D">
            <w:pPr>
              <w:tabs>
                <w:tab w:val="center" w:pos="1122"/>
              </w:tabs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原料有扔弃现象</w:t>
            </w:r>
          </w:p>
        </w:tc>
        <w:tc>
          <w:tcPr>
            <w:tcW w:w="153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8CF185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扣2分</w:t>
            </w:r>
          </w:p>
        </w:tc>
      </w:tr>
      <w:tr w14:paraId="43F8D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50389A3D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5340493F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29041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调料、油有浪费现象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B2FE94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4D4EA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74" w:type="dxa"/>
            <w:vMerge w:val="continue"/>
            <w:vAlign w:val="center"/>
          </w:tcPr>
          <w:p w14:paraId="18F3D1C4"/>
        </w:tc>
        <w:tc>
          <w:tcPr>
            <w:tcW w:w="2263" w:type="dxa"/>
            <w:vMerge w:val="continue"/>
            <w:tcBorders>
              <w:left w:val="single" w:color="000000" w:sz="4" w:space="0"/>
            </w:tcBorders>
            <w:vAlign w:val="center"/>
          </w:tcPr>
          <w:p w14:paraId="65D2E531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7DAD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违规使用夹带原料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778C69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取消比赛</w:t>
            </w:r>
          </w:p>
        </w:tc>
      </w:tr>
      <w:tr w14:paraId="091EE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537" w:type="dxa"/>
            <w:gridSpan w:val="2"/>
            <w:vMerge w:val="restart"/>
            <w:vAlign w:val="center"/>
          </w:tcPr>
          <w:p w14:paraId="0DA0CC23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5.其它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2154B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多做挑选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6B8A6E">
            <w:pPr>
              <w:spacing w:line="440" w:lineRule="exac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扣5分</w:t>
            </w:r>
          </w:p>
        </w:tc>
      </w:tr>
      <w:tr w14:paraId="41386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537" w:type="dxa"/>
            <w:gridSpan w:val="2"/>
            <w:vMerge w:val="continue"/>
            <w:vAlign w:val="center"/>
          </w:tcPr>
          <w:p w14:paraId="349B676E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A48AD">
            <w:pPr>
              <w:spacing w:line="360" w:lineRule="auto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失饪重做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EEABA7">
            <w:pPr>
              <w:spacing w:line="360" w:lineRule="auto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作品零分</w:t>
            </w:r>
          </w:p>
        </w:tc>
      </w:tr>
      <w:tr w14:paraId="14B3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537" w:type="dxa"/>
            <w:gridSpan w:val="2"/>
            <w:vMerge w:val="continue"/>
            <w:vAlign w:val="center"/>
          </w:tcPr>
          <w:p w14:paraId="22FE7E9B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61586">
            <w:pPr>
              <w:spacing w:line="360" w:lineRule="auto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长时间未烹调不关火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AC5EF6">
            <w:pPr>
              <w:spacing w:line="360" w:lineRule="auto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  <w:tr w14:paraId="5755D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537" w:type="dxa"/>
            <w:gridSpan w:val="2"/>
            <w:vMerge w:val="continue"/>
            <w:vAlign w:val="center"/>
          </w:tcPr>
          <w:p w14:paraId="496253F7"/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16B2">
            <w:pPr>
              <w:spacing w:line="360" w:lineRule="auto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长时间未冲泡不关水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4C8D39">
            <w:pPr>
              <w:spacing w:line="360" w:lineRule="auto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扣1分</w:t>
            </w:r>
          </w:p>
        </w:tc>
      </w:tr>
    </w:tbl>
    <w:p w14:paraId="6E8077AD">
      <w:pPr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八、赛项安全</w:t>
      </w:r>
      <w:bookmarkEnd w:id="13"/>
    </w:p>
    <w:p w14:paraId="4F4F306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bookmarkStart w:id="14" w:name="_Toc438019470"/>
      <w:r>
        <w:rPr>
          <w:rFonts w:hint="eastAsia" w:ascii="仿宋" w:hAnsi="仿宋" w:eastAsia="仿宋" w:cs="仿宋"/>
          <w:kern w:val="0"/>
          <w:sz w:val="32"/>
          <w:szCs w:val="32"/>
        </w:rPr>
        <w:t>1.参赛选手在参赛过程中，必须服从场内裁判和工作人员的指挥，严格按照制作规程进行操作，正确使用器具及设备，在工作人员指挥下进行用火操作，如出现非正常起火，立即关闭燃气阀门并向工作人员举手汇报。</w:t>
      </w:r>
    </w:p>
    <w:p w14:paraId="134BA077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2.妥善保管和使用个人刀具，严禁个人物品占用通道。</w:t>
      </w:r>
    </w:p>
    <w:p w14:paraId="4E4B8D97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3.评委在比赛前，宣读安全注意事项，强调用火、用电安全规则。</w:t>
      </w:r>
    </w:p>
    <w:p w14:paraId="1BD951E7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4.当现场出现突发事件时，根据应急预案及时给予处置，确保人身和财产安全。</w:t>
      </w:r>
    </w:p>
    <w:p w14:paraId="5E9FC72F">
      <w:pPr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九、</w:t>
      </w:r>
      <w:bookmarkEnd w:id="14"/>
      <w:r>
        <w:rPr>
          <w:rFonts w:hint="eastAsia" w:ascii="宋体" w:hAnsi="宋体" w:eastAsia="宋体" w:cs="宋体"/>
          <w:b/>
          <w:bCs/>
          <w:sz w:val="32"/>
          <w:szCs w:val="32"/>
        </w:rPr>
        <w:t>其它事项</w:t>
      </w:r>
    </w:p>
    <w:p w14:paraId="191DD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</w:t>
      </w:r>
      <w:r>
        <w:rPr>
          <w:rFonts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本技术文件未尽事宜将在后续补充文件中确定。 </w:t>
      </w:r>
    </w:p>
    <w:p w14:paraId="0AB56AC8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</w:t>
      </w:r>
      <w:r>
        <w:rPr>
          <w:rFonts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本技术文件的最终解释权归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竞赛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组委会。</w:t>
      </w:r>
    </w:p>
    <w:p w14:paraId="53EAB2EE"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Inria Serif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Times New Roman (Headings CS)">
    <w:altName w:val="DejaVu Sans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Frutiger LT Com 45 Light">
    <w:altName w:val="C059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EyMTE0MGZmNmM2N2RhMjhjNzFiMzIxOTc0YmU2ZGUifQ=="/>
  </w:docVars>
  <w:rsids>
    <w:rsidRoot w:val="00000000"/>
    <w:rsid w:val="1B770551"/>
    <w:rsid w:val="7FFD70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autoSpaceDE/>
      <w:autoSpaceDN/>
      <w:adjustRightInd/>
      <w:spacing w:before="0" w:after="120"/>
      <w:ind w:left="0" w:firstLine="100" w:firstLineChars="100"/>
      <w:jc w:val="both"/>
    </w:pPr>
    <w:rPr>
      <w:rFonts w:ascii="等线" w:hAnsi="等线" w:eastAsia="等线" w:cs="Arial"/>
      <w:kern w:val="2"/>
      <w:sz w:val="21"/>
      <w:szCs w:val="22"/>
    </w:r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spacing w:before="7"/>
      <w:ind w:left="20"/>
      <w:jc w:val="left"/>
    </w:pPr>
    <w:rPr>
      <w:rFonts w:ascii="宋体" w:hAnsi="Times New Roman" w:eastAsia="宋体" w:cs="宋体"/>
      <w:kern w:val="0"/>
      <w:sz w:val="30"/>
      <w:szCs w:val="30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0"/>
    <w:pPr>
      <w:widowControl/>
      <w:spacing w:line="560" w:lineRule="exact"/>
      <w:contextualSpacing/>
    </w:pPr>
    <w:rPr>
      <w:rFonts w:ascii="Inria Serif" w:hAnsi="Inria Serif" w:eastAsia="宋体" w:cs="Times New Roman (Headings CS)"/>
      <w:b/>
      <w:color w:val="0084AD"/>
      <w:spacing w:val="-10"/>
      <w:kern w:val="28"/>
      <w:sz w:val="50"/>
      <w:szCs w:val="56"/>
      <w:lang w:val="en-AU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heading 1 Char"/>
    <w:basedOn w:val="14"/>
    <w:link w:val="4"/>
    <w:qFormat/>
    <w:uiPriority w:val="0"/>
    <w:rPr>
      <w:rFonts w:ascii="等线" w:hAnsi="等线" w:eastAsia="等线" w:cs="Arial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4"/>
    <w:link w:val="5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9">
    <w:name w:val="heading 3 Char"/>
    <w:basedOn w:val="14"/>
    <w:link w:val="6"/>
    <w:qFormat/>
    <w:uiPriority w:val="0"/>
    <w:rPr>
      <w:rFonts w:ascii="等线" w:hAnsi="等线" w:eastAsia="等线" w:cs="Arial"/>
      <w:b/>
      <w:bCs/>
      <w:kern w:val="2"/>
      <w:sz w:val="32"/>
      <w:szCs w:val="32"/>
      <w:lang w:val="en-US" w:eastAsia="zh-CN" w:bidi="ar-SA"/>
    </w:rPr>
  </w:style>
  <w:style w:type="paragraph" w:styleId="20">
    <w:name w:val="List Paragraph"/>
    <w:basedOn w:val="1"/>
    <w:qFormat/>
    <w:uiPriority w:val="0"/>
    <w:pPr>
      <w:ind w:firstLine="200" w:firstLineChars="200"/>
    </w:pPr>
  </w:style>
  <w:style w:type="paragraph" w:customStyle="1" w:styleId="21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22">
    <w:name w:val="Editable"/>
    <w:qFormat/>
    <w:uiPriority w:val="0"/>
    <w:rPr>
      <w:rFonts w:ascii="Times New Roman" w:hAnsi="Times New Roman" w:cs="Times New Roman"/>
      <w:color w:val="62B5E5"/>
    </w:rPr>
  </w:style>
  <w:style w:type="paragraph" w:customStyle="1" w:styleId="23">
    <w:name w:val="_Style 15"/>
    <w:basedOn w:val="1"/>
    <w:next w:val="1"/>
    <w:qFormat/>
    <w:uiPriority w:val="0"/>
    <w:pPr>
      <w:ind w:left="400" w:leftChars="400"/>
    </w:pPr>
    <w:rPr>
      <w:rFonts w:ascii="Calibri" w:hAnsi="Calibri" w:eastAsia="宋体" w:cs="Times New Roman"/>
      <w:szCs w:val="24"/>
    </w:rPr>
  </w:style>
  <w:style w:type="paragraph" w:customStyle="1" w:styleId="24">
    <w:name w:val="Editable table text"/>
    <w:basedOn w:val="1"/>
    <w:qFormat/>
    <w:locked/>
    <w:uiPriority w:val="0"/>
    <w:pPr>
      <w:widowControl/>
    </w:pPr>
    <w:rPr>
      <w:rFonts w:ascii="Frutiger LT Com 45 Light" w:hAnsi="Frutiger LT Com 45 Light" w:eastAsia="宋体" w:cs="Times New Roman"/>
      <w:color w:val="62B5E5"/>
      <w:kern w:val="0"/>
      <w:sz w:val="20"/>
      <w:szCs w:val="24"/>
      <w:lang w:val="en-GB"/>
    </w:rPr>
  </w:style>
  <w:style w:type="paragraph" w:customStyle="1" w:styleId="25">
    <w:name w:val="_Style 24"/>
    <w:basedOn w:val="1"/>
    <w:next w:val="1"/>
    <w:qFormat/>
    <w:uiPriority w:val="0"/>
    <w:pPr>
      <w:ind w:left="400" w:leftChars="4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D05BD891-A903-4AE5-8020-5E14F07D1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11</Pages>
  <Words>3777</Words>
  <Characters>3998</Characters>
  <Lines>0</Lines>
  <Paragraphs>100</Paragraphs>
  <TotalTime>146</TotalTime>
  <ScaleCrop>false</ScaleCrop>
  <LinksUpToDate>false</LinksUpToDate>
  <CharactersWithSpaces>4012</CharactersWithSpaces>
  <Application>WPS Office_12.8.2.18605_F1E327BC-269C-435d-A152-05C5408002CA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2023-05-18T16:58:00Z</dcterms:created>
  <dc:creator>lzh18866646423@163.com</dc:creator>
  <cp:lastModifiedBy>唐思成</cp:lastModifiedBy>
  <cp:lastPrinted>2023-05-18T16:58:00Z</cp:lastPrinted>
  <dcterms:modified xsi:type="dcterms:W3CDTF">2025-08-11T12:53:57Z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6BD24A4777644207B487050F91537FA7_12</vt:lpwstr>
  </property>
  <property fmtid="{D5CDD505-2E9C-101B-9397-08002B2CF9AE}" pid="4" name="KSOTemplateDocerSaveRecord">
    <vt:lpwstr>eyJoZGlkIjoiODVhYWYxMzU1YWUxMWExZTdjNmUyOTA3ZGJlZGMzM2MiLCJ1c2VySWQiOiIxMzE1ODI0Mzc2In0=</vt:lpwstr>
  </property>
</Properties>
</file>