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784E5">
      <w:pPr>
        <w:pStyle w:val="2"/>
        <w:widowControl/>
        <w:kinsoku w:val="0"/>
        <w:autoSpaceDE w:val="0"/>
        <w:autoSpaceDN w:val="0"/>
        <w:adjustRightInd w:val="0"/>
        <w:snapToGrid w:val="0"/>
        <w:spacing w:before="150" w:line="222" w:lineRule="auto"/>
        <w:jc w:val="left"/>
        <w:textAlignment w:val="baseline"/>
        <w:rPr>
          <w:rFonts w:hint="default" w:ascii="黑体" w:hAnsi="黑体" w:eastAsia="黑体" w:cs="黑体"/>
          <w:snapToGrid w:val="0"/>
          <w:color w:val="000000"/>
          <w:spacing w:val="15"/>
          <w:kern w:val="0"/>
          <w:sz w:val="32"/>
          <w:szCs w:val="32"/>
          <w:lang w:val="en-US" w:eastAsia="zh-CN"/>
        </w:rPr>
      </w:pPr>
      <w:bookmarkStart w:id="0" w:name="OLE_LINK5"/>
      <w:r>
        <w:rPr>
          <w:rFonts w:hint="eastAsia" w:ascii="黑体" w:hAnsi="黑体" w:eastAsia="黑体" w:cs="黑体"/>
          <w:snapToGrid w:val="0"/>
          <w:color w:val="000000"/>
          <w:spacing w:val="15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pacing w:val="15"/>
          <w:kern w:val="0"/>
          <w:sz w:val="32"/>
          <w:szCs w:val="32"/>
          <w:lang w:val="en-US" w:eastAsia="zh-CN"/>
        </w:rPr>
        <w:t>5</w:t>
      </w:r>
    </w:p>
    <w:p w14:paraId="2E4DFCDE">
      <w:pPr>
        <w:pStyle w:val="2"/>
        <w:widowControl/>
        <w:kinsoku w:val="0"/>
        <w:autoSpaceDE w:val="0"/>
        <w:autoSpaceDN w:val="0"/>
        <w:adjustRightInd w:val="0"/>
        <w:snapToGrid w:val="0"/>
        <w:spacing w:before="97" w:line="222" w:lineRule="auto"/>
        <w:jc w:val="center"/>
        <w:textAlignment w:val="baseline"/>
        <w:rPr>
          <w:rFonts w:hint="default" w:ascii="Arial" w:hAnsi="Arial" w:eastAsia="Arial" w:cs="Arial"/>
          <w:b/>
          <w:bCs/>
          <w:i w:val="0"/>
          <w:iCs w:val="0"/>
          <w:caps w:val="0"/>
          <w:color w:val="181B29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-11"/>
          <w:kern w:val="0"/>
          <w:sz w:val="44"/>
          <w:szCs w:val="44"/>
          <w:lang w:val="en-US" w:eastAsia="zh-CN"/>
        </w:rPr>
        <w:t>广东省职</w:t>
      </w:r>
      <w:bookmarkStart w:id="1" w:name="_GoBack"/>
      <w:bookmarkEnd w:id="1"/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-11"/>
          <w:kern w:val="0"/>
          <w:sz w:val="44"/>
          <w:szCs w:val="44"/>
          <w:lang w:val="en-US" w:eastAsia="zh-CN"/>
        </w:rPr>
        <w:t>业技能等级认定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11"/>
          <w:kern w:val="0"/>
          <w:sz w:val="44"/>
          <w:szCs w:val="44"/>
          <w:lang w:val="en-US" w:eastAsia="zh-CN"/>
        </w:rPr>
        <w:t>参评人员</w:t>
      </w: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-11"/>
          <w:kern w:val="0"/>
          <w:sz w:val="44"/>
          <w:szCs w:val="44"/>
          <w:lang w:val="en-US" w:eastAsia="zh-CN"/>
        </w:rPr>
        <w:t>违纪违规行为认定和处理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11"/>
          <w:kern w:val="0"/>
          <w:sz w:val="44"/>
          <w:szCs w:val="44"/>
          <w:lang w:val="en-US" w:eastAsia="zh-CN"/>
        </w:rPr>
        <w:t>规定（试行）</w:t>
      </w:r>
      <w:bookmarkEnd w:id="0"/>
    </w:p>
    <w:p w14:paraId="52B873DF">
      <w:pPr>
        <w:keepNext w:val="0"/>
        <w:keepLines w:val="0"/>
        <w:widowControl/>
        <w:suppressLineNumbers w:val="0"/>
        <w:spacing w:line="26" w:lineRule="atLeast"/>
        <w:ind w:left="0" w:firstLine="0"/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181B29"/>
          <w:spacing w:val="0"/>
          <w:kern w:val="0"/>
          <w:sz w:val="24"/>
          <w:szCs w:val="24"/>
          <w:lang w:val="en-US" w:eastAsia="zh-CN" w:bidi="ar"/>
        </w:rPr>
      </w:pPr>
    </w:p>
    <w:p w14:paraId="7FADAA47">
      <w:pPr>
        <w:spacing w:line="400" w:lineRule="exact"/>
        <w:ind w:firstLine="630" w:firstLineChars="196"/>
        <w:rPr>
          <w:rFonts w:hint="eastAsia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/>
          <w:bCs/>
          <w:sz w:val="32"/>
          <w:szCs w:val="32"/>
          <w:lang w:val="en-US" w:eastAsia="zh-CN"/>
        </w:rPr>
        <w:t>第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一</w:t>
      </w:r>
      <w:r>
        <w:rPr>
          <w:rFonts w:hint="default" w:ascii="仿宋" w:hAnsi="仿宋" w:eastAsia="仿宋" w:cs="Times New Roman"/>
          <w:b/>
          <w:bCs/>
          <w:sz w:val="32"/>
          <w:szCs w:val="32"/>
          <w:lang w:val="en-US" w:eastAsia="zh-CN"/>
        </w:rPr>
        <w:t xml:space="preserve">条 </w:t>
      </w: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参评人员有下列行为之一的，取消其当次该科目的评价成绩。</w:t>
      </w:r>
    </w:p>
    <w:p w14:paraId="2A535B48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（一）携带禁携物品（包括与评价内容相关的书籍、资料、电子产品、通讯设备以及规定以外的工具等）进入座位（或考位）或未将禁携物品放在指定位置，经提醒拒不改正的；</w:t>
      </w:r>
    </w:p>
    <w:p w14:paraId="605B6D1C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（二）未在规定的座位（或考位）参加评价，或未经工作人员允许擅自离开座位（或考位），经提醒拒不改正的；</w:t>
      </w:r>
    </w:p>
    <w:p w14:paraId="0560DB01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（三）在考场（或考区）禁止的范围内，喧哗、吸烟或实施其他影响考场秩序的行为，经提醒拒不改正的；</w:t>
      </w:r>
    </w:p>
    <w:p w14:paraId="406369D1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（四）其他违反考场规则但尚未构成作弊的行为。</w:t>
      </w:r>
    </w:p>
    <w:p w14:paraId="6A618DAF">
      <w:pPr>
        <w:spacing w:line="400" w:lineRule="exact"/>
        <w:ind w:firstLine="630" w:firstLineChars="196"/>
        <w:rPr>
          <w:rFonts w:hint="default" w:ascii="仿宋" w:hAnsi="仿宋" w:eastAsia="仿宋" w:cs="Times New Roman"/>
          <w:b/>
          <w:bCs/>
          <w:sz w:val="32"/>
          <w:szCs w:val="32"/>
        </w:rPr>
      </w:pPr>
      <w:r>
        <w:rPr>
          <w:rFonts w:hint="default" w:ascii="仿宋" w:hAnsi="仿宋" w:eastAsia="仿宋" w:cs="Times New Roman"/>
          <w:b/>
          <w:bCs/>
          <w:sz w:val="32"/>
          <w:szCs w:val="32"/>
          <w:lang w:val="en-US" w:eastAsia="zh-CN"/>
        </w:rPr>
        <w:t>第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二</w:t>
      </w:r>
      <w:r>
        <w:rPr>
          <w:rFonts w:hint="default" w:ascii="仿宋" w:hAnsi="仿宋" w:eastAsia="仿宋" w:cs="Times New Roman"/>
          <w:b/>
          <w:bCs/>
          <w:sz w:val="32"/>
          <w:szCs w:val="32"/>
          <w:lang w:val="en-US" w:eastAsia="zh-CN"/>
        </w:rPr>
        <w:t xml:space="preserve">条 </w:t>
      </w: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参评人员有下列行为之一的，取消其当次全部科目评价成绩，且当年不得参加评价。</w:t>
      </w:r>
    </w:p>
    <w:p w14:paraId="2A53EE69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（一）在评价过程中使用规定以外的带拍照、存储、传输或通讯功能的电子设备（如相机、手机、耳机、U盘、手提电脑、智能手表、智能手环等）或其他电子用品的；</w:t>
      </w:r>
    </w:p>
    <w:p w14:paraId="0F5D387B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（二）抄袭或协助他人抄袭试题答案或与评价内容相关资料等的；</w:t>
      </w:r>
    </w:p>
    <w:p w14:paraId="165A8B4D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（三）故意损毁试卷、工件或考试材料的；</w:t>
      </w:r>
    </w:p>
    <w:p w14:paraId="57B6D976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（四）擅自将试题、答卷或者有关内容带出考场的；</w:t>
      </w:r>
    </w:p>
    <w:p w14:paraId="2B834C49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（五）存在其他作弊但对其他应试人员未造成严重干扰的行为。</w:t>
      </w:r>
    </w:p>
    <w:p w14:paraId="7EFB5B1B">
      <w:pPr>
        <w:spacing w:line="400" w:lineRule="exact"/>
        <w:ind w:firstLine="630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/>
          <w:bCs/>
          <w:sz w:val="32"/>
          <w:szCs w:val="32"/>
          <w:lang w:val="en-US" w:eastAsia="zh-CN"/>
        </w:rPr>
        <w:t>第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仿宋" w:hAnsi="仿宋" w:eastAsia="仿宋" w:cs="Times New Roman"/>
          <w:b/>
          <w:bCs/>
          <w:sz w:val="32"/>
          <w:szCs w:val="32"/>
          <w:lang w:val="en-US" w:eastAsia="zh-CN"/>
        </w:rPr>
        <w:t xml:space="preserve">条 </w:t>
      </w: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参评人员有下列行为之一的，取消其当次全部科目评价成绩。情节轻微的，2年内不得参加评价；情节严重的，5年内不得参加评价，并依据有关法律法规移送有关部门。</w:t>
      </w:r>
    </w:p>
    <w:p w14:paraId="441AA534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（一）通过虚假承诺、提供虚假材料以及其他非正当手段取得参加评价资格的；</w:t>
      </w:r>
    </w:p>
    <w:p w14:paraId="17BA597C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（二）评价前以非正当手段获得试题或答案或进行传播的；</w:t>
      </w:r>
    </w:p>
    <w:p w14:paraId="6068A7C7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（三）抢夺、窃取他人试卷或胁迫他人配合作弊、偷换工量器具或工件等的；</w:t>
      </w:r>
    </w:p>
    <w:p w14:paraId="54021144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（四）由他人冒名顶替参加评价或替他人参加评价的；</w:t>
      </w:r>
    </w:p>
    <w:p w14:paraId="7A8A8CE2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（五）串通作弊或参与有组织作弊的；</w:t>
      </w:r>
    </w:p>
    <w:p w14:paraId="69BDE1DE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（六）故意损毁评价设备（含视频监控系统）、材料，造成设备事故、人身伤害或设备主要零部件损坏的；</w:t>
      </w:r>
    </w:p>
    <w:p w14:paraId="73262E9C">
      <w:pPr>
        <w:spacing w:line="400" w:lineRule="exact"/>
        <w:ind w:firstLine="627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（七）其他影响恶劣或严重扰乱评价管理秩序的行为。</w:t>
      </w:r>
    </w:p>
    <w:p w14:paraId="539ABBD4">
      <w:pPr>
        <w:spacing w:line="400" w:lineRule="exact"/>
        <w:ind w:firstLine="630" w:firstLineChars="196"/>
        <w:rPr>
          <w:rFonts w:hint="default"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default" w:ascii="仿宋" w:hAnsi="仿宋" w:eastAsia="仿宋" w:cs="Times New Roman"/>
          <w:b/>
          <w:bCs/>
          <w:sz w:val="32"/>
          <w:szCs w:val="32"/>
          <w:lang w:val="en-US" w:eastAsia="zh-CN"/>
        </w:rPr>
        <w:t>第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仿宋" w:hAnsi="仿宋" w:eastAsia="仿宋" w:cs="Times New Roman"/>
          <w:b/>
          <w:bCs/>
          <w:sz w:val="32"/>
          <w:szCs w:val="32"/>
          <w:lang w:val="en-US" w:eastAsia="zh-CN"/>
        </w:rPr>
        <w:t xml:space="preserve">条 </w:t>
      </w: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评价活动结束后，发现参评人员违纪违规行为并经确认的，依照本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规定</w:t>
      </w: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第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default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条的规定处理，对其中已颁发证书的，由评价机构或评价机构监管部门宣布评价成绩无效，并对已发放证书、已上网证书数据及时作出相应处理。</w:t>
      </w:r>
    </w:p>
    <w:p w14:paraId="735A7AB4">
      <w:pPr>
        <w:spacing w:line="400" w:lineRule="exact"/>
        <w:ind w:firstLine="630" w:firstLineChars="196"/>
        <w:rPr>
          <w:rFonts w:hint="eastAsia" w:ascii="仿宋" w:hAnsi="仿宋" w:eastAsia="仿宋" w:cs="Times New Roman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102D8C"/>
    <w:rsid w:val="2D4434D6"/>
    <w:rsid w:val="4F48447E"/>
    <w:rsid w:val="5A63679E"/>
    <w:rsid w:val="5AF24AC5"/>
    <w:rsid w:val="753E699D"/>
    <w:rsid w:val="7699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864</Words>
  <Characters>864</Characters>
  <Lines>0</Lines>
  <Paragraphs>0</Paragraphs>
  <TotalTime>7</TotalTime>
  <ScaleCrop>false</ScaleCrop>
  <LinksUpToDate>false</LinksUpToDate>
  <CharactersWithSpaces>868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lq</dc:creator>
  <cp:lastModifiedBy>倩少</cp:lastModifiedBy>
  <dcterms:modified xsi:type="dcterms:W3CDTF">2025-04-01T02:23:30Z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35A8800E876E4BD29833F77A2CA6310F_13</vt:lpwstr>
  </property>
  <property fmtid="{D5CDD505-2E9C-101B-9397-08002B2CF9AE}" pid="4" name="KSOTemplateDocerSaveRecord">
    <vt:lpwstr>eyJoZGlkIjoiZGY3N2E1NmMzMzkyYmY0NzEzMWI0MWI2YTA5Y2YxZTAiLCJ1c2VySWQiOiIxMDM5MDAzMjk3In0=</vt:lpwstr>
  </property>
</Properties>
</file>