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hd w:val="clear" w:color="auto" w:fill="FFFFFF"/>
        <w:spacing w:before="0" w:beforeAutospacing="0" w:after="0" w:afterAutospacing="0" w:line="560" w:lineRule="exact"/>
        <w:jc w:val="right"/>
        <w:rPr>
          <w:rFonts w:hint="default" w:ascii="仿宋_GB2312" w:hAnsi="仿宋_GB2312" w:eastAsia="仿宋_GB2312" w:cs="仿宋_GB2312"/>
          <w:b w:val="0"/>
          <w:bCs w:val="0"/>
          <w:color w:val="auto"/>
          <w:sz w:val="32"/>
          <w:szCs w:val="32"/>
          <w:shd w:val="clear" w:color="auto" w:fill="FFFFFF"/>
        </w:rPr>
      </w:pPr>
      <w:bookmarkStart w:id="0" w:name="_GoBack"/>
    </w:p>
    <w:p>
      <w:pPr>
        <w:rPr>
          <w:color w:val="auto"/>
        </w:rPr>
      </w:pPr>
    </w:p>
    <w:p>
      <w:pPr>
        <w:spacing w:line="560" w:lineRule="exact"/>
        <w:jc w:val="right"/>
        <w:rPr>
          <w:rFonts w:ascii="仿宋_GB2312" w:hAnsi="仿宋_GB2312" w:eastAsia="仿宋_GB2312" w:cs="仿宋_GB2312"/>
          <w:b/>
          <w:bCs/>
          <w:color w:val="auto"/>
          <w:szCs w:val="32"/>
          <w:shd w:val="clear" w:color="auto" w:fill="FFFFFF"/>
        </w:rPr>
      </w:pPr>
    </w:p>
    <w:p>
      <w:pPr>
        <w:pStyle w:val="2"/>
        <w:spacing w:line="560" w:lineRule="exact"/>
        <w:jc w:val="righ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鲁人社函〔2025〕51号</w:t>
      </w:r>
    </w:p>
    <w:p>
      <w:pPr>
        <w:spacing w:line="560" w:lineRule="exact"/>
        <w:jc w:val="right"/>
        <w:rPr>
          <w:rFonts w:ascii="仿宋_GB2312" w:hAnsi="仿宋_GB2312" w:eastAsia="仿宋_GB2312" w:cs="仿宋_GB2312"/>
          <w:color w:val="auto"/>
          <w:szCs w:val="32"/>
        </w:rPr>
      </w:pPr>
    </w:p>
    <w:p>
      <w:pPr>
        <w:pStyle w:val="3"/>
        <w:shd w:val="clear" w:color="auto" w:fill="FFFFFF"/>
        <w:spacing w:before="0" w:beforeAutospacing="0" w:after="0" w:afterAutospacing="0" w:line="560" w:lineRule="exact"/>
        <w:jc w:val="center"/>
        <w:rPr>
          <w:rFonts w:hint="default" w:ascii="方正小标宋简体" w:hAnsi="方正小标宋简体" w:eastAsia="方正小标宋简体" w:cs="方正小标宋简体"/>
          <w:b w:val="0"/>
          <w:bCs w:val="0"/>
          <w:color w:val="auto"/>
          <w:sz w:val="44"/>
          <w:szCs w:val="44"/>
          <w:shd w:val="clear" w:color="auto" w:fill="FFFFFF"/>
        </w:rPr>
      </w:pPr>
      <w:r>
        <w:rPr>
          <w:rFonts w:ascii="方正小标宋简体" w:hAnsi="方正小标宋简体" w:eastAsia="方正小标宋简体" w:cs="方正小标宋简体"/>
          <w:b w:val="0"/>
          <w:bCs w:val="0"/>
          <w:color w:val="auto"/>
          <w:sz w:val="44"/>
          <w:szCs w:val="44"/>
          <w:shd w:val="clear" w:color="auto" w:fill="FFFFFF"/>
        </w:rPr>
        <w:t>山东省人力资源和社会保障厅 山东省教育厅关于做好大学生就业创业赋能中心建设</w:t>
      </w:r>
    </w:p>
    <w:p>
      <w:pPr>
        <w:pStyle w:val="3"/>
        <w:shd w:val="clear" w:color="auto" w:fill="FFFFFF"/>
        <w:spacing w:before="0" w:beforeAutospacing="0" w:after="0" w:afterAutospacing="0" w:line="560" w:lineRule="exact"/>
        <w:jc w:val="center"/>
        <w:rPr>
          <w:rFonts w:hint="default" w:ascii="方正小标宋简体" w:hAnsi="方正小标宋简体" w:eastAsia="方正小标宋简体" w:cs="方正小标宋简体"/>
          <w:b w:val="0"/>
          <w:bCs w:val="0"/>
          <w:color w:val="auto"/>
          <w:sz w:val="44"/>
          <w:szCs w:val="44"/>
          <w:shd w:val="clear" w:color="auto" w:fill="FFFFFF"/>
        </w:rPr>
      </w:pPr>
      <w:r>
        <w:rPr>
          <w:rFonts w:ascii="方正小标宋简体" w:hAnsi="方正小标宋简体" w:eastAsia="方正小标宋简体" w:cs="方正小标宋简体"/>
          <w:b w:val="0"/>
          <w:bCs w:val="0"/>
          <w:color w:val="auto"/>
          <w:sz w:val="44"/>
          <w:szCs w:val="44"/>
          <w:shd w:val="clear" w:color="auto" w:fill="FFFFFF"/>
        </w:rPr>
        <w:t>试点总结宣传工作的通知</w:t>
      </w:r>
    </w:p>
    <w:p>
      <w:pPr>
        <w:spacing w:line="560" w:lineRule="exact"/>
        <w:rPr>
          <w:rFonts w:ascii="方正小标宋简体" w:hAnsi="方正小标宋简体" w:eastAsia="方正小标宋简体" w:cs="方正小标宋简体"/>
          <w:color w:val="auto"/>
          <w:sz w:val="44"/>
          <w:szCs w:val="44"/>
          <w:shd w:val="clear" w:color="auto" w:fill="FFFFFF"/>
        </w:rPr>
      </w:pPr>
    </w:p>
    <w:p>
      <w:pPr>
        <w:spacing w:line="560" w:lineRule="exact"/>
        <w:rPr>
          <w:rFonts w:ascii="仿宋_GB2312" w:hAnsi="仿宋_GB2312" w:eastAsia="仿宋_GB2312" w:cs="仿宋_GB2312"/>
          <w:color w:val="auto"/>
          <w:szCs w:val="32"/>
          <w:shd w:val="clear" w:color="auto" w:fill="FFFFFF"/>
        </w:rPr>
      </w:pPr>
      <w:r>
        <w:rPr>
          <w:rFonts w:hint="eastAsia" w:ascii="仿宋_GB2312" w:hAnsi="仿宋_GB2312" w:eastAsia="仿宋_GB2312" w:cs="仿宋_GB2312"/>
          <w:color w:val="auto"/>
          <w:szCs w:val="32"/>
          <w:shd w:val="clear" w:color="auto" w:fill="FFFFFF"/>
        </w:rPr>
        <w:t>各有关高校：</w:t>
      </w:r>
    </w:p>
    <w:p>
      <w:pPr>
        <w:spacing w:line="560" w:lineRule="exact"/>
        <w:ind w:firstLine="632" w:firstLineChars="200"/>
        <w:rPr>
          <w:rFonts w:ascii="仿宋_GB2312" w:hAnsi="仿宋_GB2312" w:eastAsia="仿宋_GB2312" w:cs="仿宋_GB2312"/>
          <w:color w:val="auto"/>
          <w:szCs w:val="32"/>
          <w:shd w:val="clear" w:color="auto" w:fill="FFFFFF"/>
        </w:rPr>
      </w:pPr>
      <w:r>
        <w:rPr>
          <w:rFonts w:hint="eastAsia" w:ascii="仿宋_GB2312" w:hAnsi="仿宋_GB2312" w:eastAsia="仿宋_GB2312" w:cs="仿宋_GB2312"/>
          <w:color w:val="auto"/>
          <w:szCs w:val="32"/>
          <w:shd w:val="clear" w:color="auto" w:fill="FFFFFF"/>
        </w:rPr>
        <w:t>根据《山东省人力资源和社会保障厅山东省教育厅山东省财政厅关于开展大学生就业创业赋能中心建设的实施意见》（鲁人社字〔2024〕19号）有关部署要求，省人力资源社会保障厅、省教育厅决定于2025年4月组织开展大学生就业创业赋能中心建设试点总结宣传工作，现将有关事项通知如下：</w:t>
      </w:r>
    </w:p>
    <w:p>
      <w:pPr>
        <w:spacing w:line="560" w:lineRule="exact"/>
        <w:ind w:firstLine="632" w:firstLineChars="200"/>
        <w:rPr>
          <w:rFonts w:ascii="黑体" w:hAnsi="黑体" w:eastAsia="黑体" w:cs="黑体"/>
          <w:color w:val="auto"/>
          <w:szCs w:val="32"/>
          <w:shd w:val="clear" w:color="auto" w:fill="FFFFFF"/>
        </w:rPr>
      </w:pPr>
      <w:r>
        <w:rPr>
          <w:rFonts w:hint="eastAsia" w:ascii="黑体" w:hAnsi="黑体" w:eastAsia="黑体" w:cs="黑体"/>
          <w:color w:val="auto"/>
          <w:szCs w:val="32"/>
          <w:shd w:val="clear" w:color="auto" w:fill="FFFFFF"/>
        </w:rPr>
        <w:t>一、总结范围</w:t>
      </w:r>
    </w:p>
    <w:p>
      <w:pPr>
        <w:spacing w:line="560" w:lineRule="exact"/>
        <w:ind w:firstLine="632" w:firstLineChars="200"/>
        <w:rPr>
          <w:rFonts w:ascii="仿宋_GB2312" w:hAnsi="仿宋_GB2312" w:eastAsia="仿宋_GB2312" w:cs="仿宋_GB2312"/>
          <w:color w:val="auto"/>
          <w:szCs w:val="32"/>
          <w:shd w:val="clear" w:color="auto" w:fill="FFFFFF"/>
        </w:rPr>
      </w:pPr>
      <w:r>
        <w:rPr>
          <w:rFonts w:hint="eastAsia" w:ascii="仿宋_GB2312" w:hAnsi="仿宋_GB2312" w:eastAsia="仿宋_GB2312" w:cs="仿宋_GB2312"/>
          <w:color w:val="auto"/>
          <w:szCs w:val="32"/>
          <w:shd w:val="clear" w:color="auto" w:fill="FFFFFF"/>
        </w:rPr>
        <w:t>《山东省人力资源和社会保障厅山东省教育厅山东省财政厅关于公布山东省大学生就业创业赋能中心建设试点名单的通知》（鲁人社函〔2024〕51号）确定的试点单位。</w:t>
      </w:r>
    </w:p>
    <w:p>
      <w:pPr>
        <w:spacing w:line="560" w:lineRule="exact"/>
        <w:ind w:firstLine="632" w:firstLineChars="200"/>
        <w:rPr>
          <w:rFonts w:ascii="黑体" w:hAnsi="黑体" w:eastAsia="黑体" w:cs="黑体"/>
          <w:color w:val="auto"/>
          <w:szCs w:val="32"/>
          <w:shd w:val="clear" w:color="auto" w:fill="FFFFFF"/>
        </w:rPr>
      </w:pPr>
      <w:r>
        <w:rPr>
          <w:rFonts w:hint="eastAsia" w:ascii="黑体" w:hAnsi="黑体" w:eastAsia="黑体" w:cs="黑体"/>
          <w:color w:val="auto"/>
          <w:szCs w:val="32"/>
          <w:shd w:val="clear" w:color="auto" w:fill="FFFFFF"/>
        </w:rPr>
        <w:t>二、总结内容</w:t>
      </w:r>
    </w:p>
    <w:p>
      <w:pPr>
        <w:spacing w:line="560" w:lineRule="exact"/>
        <w:ind w:firstLine="632" w:firstLineChars="200"/>
        <w:rPr>
          <w:rFonts w:ascii="仿宋_GB2312" w:hAnsi="仿宋_GB2312" w:eastAsia="仿宋_GB2312" w:cs="仿宋_GB2312"/>
          <w:color w:val="auto"/>
          <w:szCs w:val="32"/>
          <w:shd w:val="clear" w:color="auto" w:fill="FFFFFF"/>
        </w:rPr>
      </w:pPr>
      <w:r>
        <w:rPr>
          <w:rFonts w:hint="eastAsia" w:ascii="仿宋_GB2312" w:hAnsi="仿宋_GB2312" w:eastAsia="仿宋_GB2312" w:cs="仿宋_GB2312"/>
          <w:color w:val="auto"/>
          <w:szCs w:val="32"/>
          <w:shd w:val="clear" w:color="auto" w:fill="FFFFFF"/>
        </w:rPr>
        <w:t>经确定的大学生就业创业赋能中心试点建设方案组织实施情况，主要包括：主要目标和建设完成情况、资金投入情况、组织管理体系、保障措施落实、创新特色亮点等情况，以及建设工作取得的效果、存在的问题及相关建议等。</w:t>
      </w:r>
    </w:p>
    <w:p>
      <w:pPr>
        <w:spacing w:line="560" w:lineRule="exact"/>
        <w:rPr>
          <w:rFonts w:ascii="黑体" w:hAnsi="黑体" w:eastAsia="黑体" w:cs="黑体"/>
          <w:color w:val="auto"/>
          <w:szCs w:val="32"/>
          <w:shd w:val="clear" w:color="auto" w:fill="FFFFFF"/>
        </w:rPr>
      </w:pPr>
      <w:r>
        <w:rPr>
          <w:rFonts w:hint="eastAsia" w:ascii="黑体" w:hAnsi="黑体" w:eastAsia="黑体" w:cs="黑体"/>
          <w:color w:val="auto"/>
          <w:szCs w:val="32"/>
          <w:shd w:val="clear" w:color="auto" w:fill="FFFFFF"/>
        </w:rPr>
        <w:t xml:space="preserve">    三、工作程序</w:t>
      </w:r>
    </w:p>
    <w:p>
      <w:pPr>
        <w:spacing w:line="560" w:lineRule="exact"/>
        <w:rPr>
          <w:rFonts w:ascii="仿宋_GB2312" w:hAnsi="仿宋_GB2312" w:eastAsia="仿宋_GB2312" w:cs="仿宋_GB2312"/>
          <w:color w:val="auto"/>
          <w:szCs w:val="32"/>
          <w:shd w:val="clear" w:color="auto" w:fill="FFFFFF"/>
        </w:rPr>
      </w:pPr>
      <w:r>
        <w:rPr>
          <w:rFonts w:hint="eastAsia" w:ascii="楷体_GB2312" w:hAnsi="楷体_GB2312" w:eastAsia="楷体_GB2312" w:cs="楷体_GB2312"/>
          <w:color w:val="auto"/>
          <w:szCs w:val="32"/>
          <w:shd w:val="clear" w:color="auto" w:fill="FFFFFF"/>
        </w:rPr>
        <w:t xml:space="preserve">    （一）自我总结。</w:t>
      </w:r>
      <w:r>
        <w:rPr>
          <w:rFonts w:hint="eastAsia" w:ascii="仿宋_GB2312" w:hAnsi="仿宋_GB2312" w:eastAsia="仿宋_GB2312" w:cs="仿宋_GB2312"/>
          <w:color w:val="auto"/>
          <w:szCs w:val="32"/>
          <w:shd w:val="clear" w:color="auto" w:fill="FFFFFF"/>
        </w:rPr>
        <w:t>各试点单位对照试点任务和实施方案，结合工作实际，形成总结报告，报告应包括：试点目标完成情况、工作成效及创新点、资金到位和执行情况、存在问题、改进措施及建议、下一阶段工作计划等，并对内容真实性、完整性负责。总结报告正文字数不超过2000字，有关建设效果图、重大新闻宣传、个人案例等可作为附件一并报送。各试点单位于</w:t>
      </w:r>
      <w:r>
        <w:rPr>
          <w:rFonts w:ascii="仿宋_GB2312" w:hAnsi="仿宋_GB2312" w:eastAsia="仿宋_GB2312" w:cs="仿宋_GB2312"/>
          <w:color w:val="auto"/>
          <w:szCs w:val="32"/>
          <w:shd w:val="clear" w:color="auto" w:fill="FFFFFF"/>
        </w:rPr>
        <w:t>4</w:t>
      </w:r>
      <w:r>
        <w:rPr>
          <w:rFonts w:hint="eastAsia" w:ascii="仿宋_GB2312" w:hAnsi="仿宋_GB2312" w:eastAsia="仿宋_GB2312" w:cs="仿宋_GB2312"/>
          <w:color w:val="auto"/>
          <w:szCs w:val="32"/>
          <w:shd w:val="clear" w:color="auto" w:fill="FFFFFF"/>
        </w:rPr>
        <w:t>月20日前将总结报告及有关材料，报送至省人力资源社会保障厅。</w:t>
      </w:r>
    </w:p>
    <w:p>
      <w:pPr>
        <w:spacing w:line="560" w:lineRule="exact"/>
        <w:rPr>
          <w:rFonts w:ascii="仿宋_GB2312" w:hAnsi="仿宋_GB2312" w:eastAsia="仿宋_GB2312" w:cs="仿宋_GB2312"/>
          <w:color w:val="auto"/>
          <w:szCs w:val="32"/>
          <w:shd w:val="clear" w:color="auto" w:fill="FFFFFF"/>
        </w:rPr>
      </w:pPr>
      <w:r>
        <w:rPr>
          <w:rFonts w:hint="eastAsia" w:ascii="楷体_GB2312" w:hAnsi="楷体_GB2312" w:eastAsia="楷体_GB2312" w:cs="楷体_GB2312"/>
          <w:color w:val="auto"/>
          <w:szCs w:val="32"/>
          <w:shd w:val="clear" w:color="auto" w:fill="FFFFFF"/>
        </w:rPr>
        <w:t xml:space="preserve">    （二）视频报送。</w:t>
      </w:r>
      <w:r>
        <w:rPr>
          <w:rFonts w:hint="eastAsia" w:ascii="仿宋_GB2312" w:hAnsi="仿宋_GB2312" w:eastAsia="仿宋_GB2312" w:cs="仿宋_GB2312"/>
          <w:color w:val="auto"/>
          <w:szCs w:val="32"/>
          <w:shd w:val="clear" w:color="auto" w:fill="FFFFFF"/>
        </w:rPr>
        <w:t>各试点单位可对大学生就业创业赋能中心建设情况进行视频拍摄，包括大学生就业创业赋能中心的全景、整体布局和环境，以及各重点区域的具体情况、使用情况，视频配备讲解。视频需清晰可辨，能够清楚地展示赋能中心的细节，且真实反映实际客观情况，不得过分修饰，并于4月20日前将视频百度网盘链接，报送至省人力资源社会保障厅指定邮箱（MP4格式，用“学校名称”命名，横屏拍摄，时常6分钟以内，上传至百度网盘)。</w:t>
      </w:r>
    </w:p>
    <w:p>
      <w:pPr>
        <w:spacing w:line="560" w:lineRule="exact"/>
        <w:ind w:firstLine="632" w:firstLineChars="200"/>
        <w:rPr>
          <w:rFonts w:ascii="仿宋_GB2312" w:hAnsi="仿宋_GB2312" w:eastAsia="仿宋_GB2312" w:cs="仿宋_GB2312"/>
          <w:color w:val="auto"/>
          <w:szCs w:val="32"/>
          <w:shd w:val="clear" w:color="auto" w:fill="FFFFFF"/>
        </w:rPr>
      </w:pPr>
      <w:r>
        <w:rPr>
          <w:rFonts w:hint="eastAsia" w:ascii="楷体_GB2312" w:hAnsi="楷体_GB2312" w:eastAsia="楷体_GB2312" w:cs="楷体_GB2312"/>
          <w:color w:val="auto"/>
          <w:szCs w:val="32"/>
          <w:shd w:val="clear" w:color="auto" w:fill="FFFFFF"/>
        </w:rPr>
        <w:t>（三）总结宣传。</w:t>
      </w:r>
      <w:r>
        <w:rPr>
          <w:rFonts w:hint="eastAsia" w:ascii="仿宋_GB2312" w:hAnsi="仿宋_GB2312" w:eastAsia="仿宋_GB2312" w:cs="仿宋_GB2312"/>
          <w:color w:val="auto"/>
          <w:szCs w:val="32"/>
          <w:shd w:val="clear" w:color="auto" w:fill="FFFFFF"/>
        </w:rPr>
        <w:t>对于取得显著成效的试点单位，整理汇编典型案例，加强向上宣传报送、省内宣传推广力度。</w:t>
      </w:r>
    </w:p>
    <w:p>
      <w:pPr>
        <w:spacing w:line="560" w:lineRule="exact"/>
        <w:ind w:firstLine="632" w:firstLineChars="200"/>
        <w:rPr>
          <w:rFonts w:ascii="仿宋_GB2312" w:hAnsi="仿宋_GB2312" w:eastAsia="仿宋_GB2312" w:cs="仿宋_GB2312"/>
          <w:color w:val="auto"/>
          <w:szCs w:val="32"/>
          <w:shd w:val="clear" w:color="auto" w:fill="FFFFFF"/>
        </w:rPr>
      </w:pPr>
      <w:r>
        <w:rPr>
          <w:rFonts w:hint="eastAsia" w:ascii="黑体" w:hAnsi="黑体" w:eastAsia="黑体" w:cs="黑体"/>
          <w:color w:val="auto"/>
          <w:szCs w:val="32"/>
          <w:shd w:val="clear" w:color="auto" w:fill="FFFFFF"/>
        </w:rPr>
        <w:t>四、工作要求</w:t>
      </w:r>
    </w:p>
    <w:p>
      <w:pPr>
        <w:spacing w:line="560" w:lineRule="exact"/>
        <w:ind w:firstLine="632" w:firstLineChars="200"/>
        <w:rPr>
          <w:rFonts w:ascii="仿宋_GB2312" w:hAnsi="仿宋_GB2312" w:eastAsia="仿宋_GB2312" w:cs="仿宋_GB2312"/>
          <w:color w:val="auto"/>
          <w:szCs w:val="32"/>
          <w:shd w:val="clear" w:color="auto" w:fill="FFFFFF"/>
        </w:rPr>
      </w:pPr>
      <w:r>
        <w:rPr>
          <w:rFonts w:hint="eastAsia" w:ascii="仿宋_GB2312" w:hAnsi="仿宋_GB2312" w:eastAsia="仿宋_GB2312" w:cs="仿宋_GB2312"/>
          <w:color w:val="auto"/>
          <w:szCs w:val="32"/>
          <w:shd w:val="clear" w:color="auto" w:fill="FFFFFF"/>
        </w:rPr>
        <w:t>请各试点单位高度重视，将大学生就业创业赋能中心试点建设总结宣传工作，作为总结本校高校毕业生就业服务体制机制创新经验的重要契机，进一步发挥大学生就业创业赋能中心作用，提升学校就业创业整体服务水平，促进高校毕业生高质量充分就业。</w:t>
      </w:r>
    </w:p>
    <w:p>
      <w:pPr>
        <w:spacing w:line="560" w:lineRule="exact"/>
        <w:ind w:firstLine="632" w:firstLineChars="200"/>
        <w:rPr>
          <w:rFonts w:ascii="仿宋_GB2312" w:hAnsi="仿宋_GB2312" w:eastAsia="仿宋_GB2312" w:cs="仿宋_GB2312"/>
          <w:color w:val="auto"/>
          <w:szCs w:val="32"/>
          <w:shd w:val="clear" w:color="auto" w:fill="FFFFFF"/>
        </w:rPr>
      </w:pPr>
    </w:p>
    <w:p>
      <w:pPr>
        <w:spacing w:line="560" w:lineRule="exact"/>
        <w:ind w:firstLine="632" w:firstLineChars="200"/>
        <w:rPr>
          <w:rFonts w:ascii="仿宋_GB2312" w:hAnsi="仿宋_GB2312" w:eastAsia="仿宋_GB2312" w:cs="仿宋_GB2312"/>
          <w:color w:val="auto"/>
          <w:szCs w:val="32"/>
          <w:shd w:val="clear" w:color="auto" w:fill="FFFFFF"/>
        </w:rPr>
      </w:pPr>
      <w:r>
        <w:rPr>
          <w:rFonts w:hint="eastAsia" w:ascii="仿宋_GB2312" w:hAnsi="仿宋_GB2312" w:eastAsia="仿宋_GB2312" w:cs="仿宋_GB2312"/>
          <w:color w:val="auto"/>
          <w:szCs w:val="32"/>
          <w:shd w:val="clear" w:color="auto" w:fill="FFFFFF"/>
        </w:rPr>
        <w:t>联系人：孟越、王越</w:t>
      </w:r>
    </w:p>
    <w:p>
      <w:pPr>
        <w:spacing w:line="560" w:lineRule="exact"/>
        <w:ind w:firstLine="632" w:firstLineChars="200"/>
        <w:rPr>
          <w:rFonts w:ascii="仿宋_GB2312" w:hAnsi="仿宋_GB2312" w:eastAsia="仿宋_GB2312" w:cs="仿宋_GB2312"/>
          <w:color w:val="auto"/>
          <w:szCs w:val="32"/>
          <w:shd w:val="clear" w:color="auto" w:fill="FFFFFF"/>
        </w:rPr>
      </w:pPr>
      <w:r>
        <w:rPr>
          <w:rFonts w:hint="eastAsia" w:ascii="仿宋_GB2312" w:hAnsi="仿宋_GB2312" w:eastAsia="仿宋_GB2312" w:cs="仿宋_GB2312"/>
          <w:color w:val="auto"/>
          <w:szCs w:val="32"/>
          <w:shd w:val="clear" w:color="auto" w:fill="FFFFFF"/>
        </w:rPr>
        <w:t>电  话：0531—51788615、0531—51788616</w:t>
      </w:r>
    </w:p>
    <w:p>
      <w:pPr>
        <w:spacing w:line="560" w:lineRule="exact"/>
        <w:ind w:firstLine="632" w:firstLineChars="200"/>
        <w:rPr>
          <w:rFonts w:ascii="仿宋_GB2312" w:hAnsi="仿宋_GB2312" w:eastAsia="仿宋_GB2312" w:cs="仿宋_GB2312"/>
          <w:color w:val="auto"/>
          <w:szCs w:val="32"/>
          <w:shd w:val="clear" w:color="auto" w:fill="FFFFFF"/>
        </w:rPr>
      </w:pPr>
      <w:r>
        <w:rPr>
          <w:rFonts w:hint="eastAsia" w:ascii="仿宋_GB2312" w:hAnsi="仿宋_GB2312" w:eastAsia="仿宋_GB2312" w:cs="仿宋_GB2312"/>
          <w:color w:val="auto"/>
          <w:szCs w:val="32"/>
          <w:shd w:val="clear" w:color="auto" w:fill="FFFFFF"/>
        </w:rPr>
        <w:t>邮  箱：</w:t>
      </w:r>
      <w:r>
        <w:rPr>
          <w:color w:val="auto"/>
        </w:rPr>
        <w:fldChar w:fldCharType="begin"/>
      </w:r>
      <w:r>
        <w:rPr>
          <w:color w:val="auto"/>
        </w:rPr>
        <w:instrText xml:space="preserve"> HYPERLINK "mailto:myuerst@shandong.cn" </w:instrText>
      </w:r>
      <w:r>
        <w:rPr>
          <w:color w:val="auto"/>
        </w:rPr>
        <w:fldChar w:fldCharType="separate"/>
      </w:r>
      <w:r>
        <w:rPr>
          <w:rStyle w:val="8"/>
          <w:rFonts w:hint="eastAsia" w:ascii="仿宋_GB2312" w:hAnsi="仿宋_GB2312" w:eastAsia="仿宋_GB2312" w:cs="仿宋_GB2312"/>
          <w:color w:val="auto"/>
          <w:szCs w:val="32"/>
          <w:u w:val="none"/>
          <w:shd w:val="clear" w:color="auto" w:fill="FFFFFF"/>
        </w:rPr>
        <w:t>myuerst</w:t>
      </w:r>
      <w:r>
        <w:rPr>
          <w:rStyle w:val="8"/>
          <w:rFonts w:hint="eastAsia" w:ascii="宋体" w:hAnsi="宋体" w:cs="宋体"/>
          <w:color w:val="auto"/>
          <w:szCs w:val="32"/>
          <w:u w:val="none"/>
          <w:shd w:val="clear" w:color="auto" w:fill="FFFFFF"/>
        </w:rPr>
        <w:t>@</w:t>
      </w:r>
      <w:r>
        <w:rPr>
          <w:rStyle w:val="8"/>
          <w:rFonts w:hint="eastAsia" w:ascii="仿宋_GB2312" w:hAnsi="仿宋_GB2312" w:eastAsia="仿宋_GB2312" w:cs="仿宋_GB2312"/>
          <w:color w:val="auto"/>
          <w:szCs w:val="32"/>
          <w:u w:val="none"/>
          <w:shd w:val="clear" w:color="auto" w:fill="FFFFFF"/>
        </w:rPr>
        <w:t>shandong.cn</w:t>
      </w:r>
      <w:r>
        <w:rPr>
          <w:rStyle w:val="8"/>
          <w:rFonts w:hint="eastAsia" w:ascii="仿宋_GB2312" w:hAnsi="仿宋_GB2312" w:eastAsia="仿宋_GB2312" w:cs="仿宋_GB2312"/>
          <w:color w:val="auto"/>
          <w:szCs w:val="32"/>
          <w:u w:val="none"/>
          <w:shd w:val="clear" w:color="auto" w:fill="FFFFFF"/>
        </w:rPr>
        <w:fldChar w:fldCharType="end"/>
      </w:r>
    </w:p>
    <w:p>
      <w:pPr>
        <w:spacing w:line="560" w:lineRule="exact"/>
        <w:rPr>
          <w:rFonts w:ascii="仿宋_GB2312" w:hAnsi="仿宋_GB2312" w:eastAsia="仿宋_GB2312" w:cs="仿宋_GB2312"/>
          <w:color w:val="auto"/>
          <w:szCs w:val="32"/>
          <w:shd w:val="clear" w:color="auto" w:fill="FFFFFF"/>
        </w:rPr>
      </w:pPr>
    </w:p>
    <w:p>
      <w:pPr>
        <w:spacing w:line="560" w:lineRule="exact"/>
        <w:rPr>
          <w:rFonts w:ascii="仿宋_GB2312" w:hAnsi="仿宋_GB2312" w:eastAsia="仿宋_GB2312" w:cs="仿宋_GB2312"/>
          <w:color w:val="auto"/>
          <w:szCs w:val="32"/>
          <w:shd w:val="clear" w:color="auto" w:fill="FFFFFF"/>
        </w:rPr>
      </w:pPr>
    </w:p>
    <w:tbl>
      <w:tblPr>
        <w:tblStyle w:val="10"/>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30"/>
        <w:gridCol w:w="4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530" w:type="dxa"/>
            <w:tcBorders>
              <w:tl2br w:val="nil"/>
              <w:tr2bl w:val="nil"/>
            </w:tcBorders>
            <w:vAlign w:val="center"/>
          </w:tcPr>
          <w:p>
            <w:pPr>
              <w:pStyle w:val="2"/>
              <w:jc w:val="center"/>
              <w:rPr>
                <w:color w:val="auto"/>
              </w:rPr>
            </w:pPr>
            <w:r>
              <w:rPr>
                <w:rFonts w:hint="eastAsia" w:ascii="仿宋_GB2312" w:hAnsi="仿宋_GB2312" w:eastAsia="仿宋_GB2312" w:cs="仿宋_GB2312"/>
                <w:color w:val="auto"/>
                <w:sz w:val="32"/>
                <w:szCs w:val="32"/>
                <w:shd w:val="clear" w:color="auto" w:fill="FFFFFF"/>
              </w:rPr>
              <w:t>山东省人力资源和社会保障厅</w:t>
            </w:r>
          </w:p>
        </w:tc>
        <w:tc>
          <w:tcPr>
            <w:tcW w:w="4530" w:type="dxa"/>
            <w:tcBorders>
              <w:tl2br w:val="nil"/>
              <w:tr2bl w:val="nil"/>
            </w:tcBorders>
            <w:vAlign w:val="center"/>
          </w:tcPr>
          <w:p>
            <w:pPr>
              <w:pStyle w:val="2"/>
              <w:jc w:val="center"/>
              <w:rPr>
                <w:color w:val="auto"/>
              </w:rPr>
            </w:pPr>
            <w:r>
              <w:rPr>
                <w:rFonts w:hint="eastAsia" w:ascii="仿宋_GB2312" w:hAnsi="仿宋_GB2312" w:eastAsia="仿宋_GB2312" w:cs="仿宋_GB2312"/>
                <w:color w:val="auto"/>
                <w:sz w:val="32"/>
                <w:szCs w:val="32"/>
                <w:shd w:val="clear" w:color="auto" w:fill="FFFFFF"/>
              </w:rPr>
              <w:t>山东省教育厅</w:t>
            </w:r>
          </w:p>
        </w:tc>
      </w:tr>
    </w:tbl>
    <w:p>
      <w:pPr>
        <w:spacing w:line="560" w:lineRule="exact"/>
        <w:ind w:firstLine="4738" w:firstLineChars="1500"/>
        <w:rPr>
          <w:rFonts w:ascii="仿宋_GB2312" w:hAnsi="仿宋_GB2312" w:eastAsia="仿宋_GB2312" w:cs="仿宋_GB2312"/>
          <w:color w:val="auto"/>
          <w:szCs w:val="32"/>
          <w:shd w:val="clear" w:color="auto" w:fill="FFFFFF"/>
        </w:rPr>
      </w:pPr>
      <w:r>
        <w:rPr>
          <w:rFonts w:hint="eastAsia" w:ascii="仿宋_GB2312" w:hAnsi="仿宋_GB2312" w:eastAsia="仿宋_GB2312" w:cs="仿宋_GB2312"/>
          <w:color w:val="auto"/>
          <w:szCs w:val="32"/>
          <w:shd w:val="clear" w:color="auto" w:fill="FFFFFF"/>
        </w:rPr>
        <w:t xml:space="preserve">     2025年</w:t>
      </w:r>
      <w:r>
        <w:rPr>
          <w:rFonts w:ascii="仿宋_GB2312" w:hAnsi="仿宋_GB2312" w:eastAsia="仿宋_GB2312" w:cs="仿宋_GB2312"/>
          <w:color w:val="auto"/>
          <w:szCs w:val="32"/>
          <w:shd w:val="clear" w:color="auto" w:fill="FFFFFF"/>
        </w:rPr>
        <w:t>4</w:t>
      </w:r>
      <w:r>
        <w:rPr>
          <w:rFonts w:hint="eastAsia" w:ascii="仿宋_GB2312" w:hAnsi="仿宋_GB2312" w:eastAsia="仿宋_GB2312" w:cs="仿宋_GB2312"/>
          <w:color w:val="auto"/>
          <w:szCs w:val="32"/>
          <w:shd w:val="clear" w:color="auto" w:fill="FFFFFF"/>
        </w:rPr>
        <w:t>月9日</w:t>
      </w:r>
    </w:p>
    <w:p>
      <w:pPr>
        <w:spacing w:line="560" w:lineRule="exact"/>
        <w:ind w:firstLine="632" w:firstLineChars="200"/>
        <w:rPr>
          <w:rFonts w:ascii="仿宋_GB2312" w:hAnsi="仿宋_GB2312" w:eastAsia="仿宋_GB2312" w:cs="仿宋_GB2312"/>
          <w:color w:val="auto"/>
          <w:szCs w:val="32"/>
          <w:shd w:val="clear" w:color="auto" w:fill="FFFFFF"/>
        </w:rPr>
      </w:pPr>
    </w:p>
    <w:p>
      <w:pPr>
        <w:spacing w:line="560" w:lineRule="exact"/>
        <w:ind w:firstLine="632" w:firstLineChars="200"/>
        <w:rPr>
          <w:rFonts w:ascii="仿宋_GB2312" w:hAnsi="仿宋_GB2312" w:eastAsia="仿宋_GB2312" w:cs="仿宋_GB2312"/>
          <w:color w:val="auto"/>
          <w:szCs w:val="32"/>
          <w:shd w:val="clear" w:color="auto" w:fill="FFFFFF"/>
        </w:rPr>
      </w:pPr>
      <w:r>
        <w:rPr>
          <w:rFonts w:hint="eastAsia" w:ascii="仿宋_GB2312" w:hAnsi="仿宋_GB2312" w:eastAsia="仿宋_GB2312" w:cs="仿宋_GB2312"/>
          <w:color w:val="auto"/>
          <w:szCs w:val="32"/>
          <w:shd w:val="clear" w:color="auto" w:fill="FFFFFF"/>
        </w:rPr>
        <w:t>（此件主动公开）</w:t>
      </w:r>
    </w:p>
    <w:p>
      <w:pPr>
        <w:spacing w:line="560" w:lineRule="exact"/>
        <w:ind w:firstLine="632" w:firstLineChars="200"/>
        <w:rPr>
          <w:rFonts w:ascii="仿宋_GB2312" w:hAnsi="仿宋_GB2312" w:eastAsia="仿宋_GB2312" w:cs="仿宋_GB2312"/>
          <w:color w:val="auto"/>
          <w:szCs w:val="32"/>
          <w:shd w:val="clear" w:color="auto" w:fill="FFFFFF"/>
        </w:rPr>
      </w:pPr>
      <w:r>
        <w:rPr>
          <w:rFonts w:hint="eastAsia" w:ascii="仿宋_GB2312" w:hAnsi="仿宋_GB2312" w:eastAsia="仿宋_GB2312" w:cs="仿宋_GB2312"/>
          <w:color w:val="auto"/>
          <w:szCs w:val="32"/>
          <w:shd w:val="clear" w:color="auto" w:fill="FFFFFF"/>
        </w:rPr>
        <w:t>（联系单位：省公共就业和人才服务中心就业服务处）</w:t>
      </w:r>
    </w:p>
    <w:p>
      <w:pPr>
        <w:pStyle w:val="2"/>
        <w:spacing w:line="560" w:lineRule="exact"/>
        <w:rPr>
          <w:color w:val="auto"/>
        </w:rPr>
      </w:pPr>
    </w:p>
    <w:p>
      <w:pPr>
        <w:spacing w:line="560" w:lineRule="exact"/>
        <w:rPr>
          <w:color w:val="auto"/>
        </w:rPr>
      </w:pPr>
    </w:p>
    <w:bookmarkEnd w:id="0"/>
    <w:sectPr>
      <w:pgSz w:w="11906" w:h="16838"/>
      <w:pgMar w:top="2098" w:right="1531" w:bottom="1814" w:left="1531" w:header="851" w:footer="1587" w:gutter="0"/>
      <w:cols w:space="0" w:num="1"/>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0287" w:usb1="00000000" w:usb2="00000000" w:usb3="00000000" w:csb0="4000009F" w:csb1="DFD7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287" w:usb1="00000000" w:usb2="00000000" w:usb3="00000000" w:csb0="4000009F" w:csb1="DFD7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HorizontalSpacing w:val="158"/>
  <w:drawingGridVerticalSpacing w:val="294"/>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2BD4476B"/>
    <w:rsid w:val="00383B45"/>
    <w:rsid w:val="0059323A"/>
    <w:rsid w:val="00617DB2"/>
    <w:rsid w:val="006A59B0"/>
    <w:rsid w:val="006B3009"/>
    <w:rsid w:val="00885FB9"/>
    <w:rsid w:val="008C0AED"/>
    <w:rsid w:val="009D3221"/>
    <w:rsid w:val="00D01430"/>
    <w:rsid w:val="00ED7426"/>
    <w:rsid w:val="00EF52FF"/>
    <w:rsid w:val="0ECD018E"/>
    <w:rsid w:val="0FC73B96"/>
    <w:rsid w:val="17DEA73D"/>
    <w:rsid w:val="257E30F3"/>
    <w:rsid w:val="2BD4476B"/>
    <w:rsid w:val="32007F46"/>
    <w:rsid w:val="34465198"/>
    <w:rsid w:val="3BDFB623"/>
    <w:rsid w:val="41264DA9"/>
    <w:rsid w:val="45240C2E"/>
    <w:rsid w:val="4B3A41C6"/>
    <w:rsid w:val="5EF9B1BB"/>
    <w:rsid w:val="7FFDF36B"/>
    <w:rsid w:val="9FEFF816"/>
    <w:rsid w:val="A97E3A93"/>
    <w:rsid w:val="B77D60F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32"/>
      <w:szCs w:val="24"/>
      <w:lang w:val="en-US" w:eastAsia="zh-CN" w:bidi="ar-SA"/>
    </w:rPr>
  </w:style>
  <w:style w:type="paragraph" w:styleId="3">
    <w:name w:val="heading 1"/>
    <w:next w:val="1"/>
    <w:qFormat/>
    <w:uiPriority w:val="0"/>
    <w:pPr>
      <w:widowControl w:val="0"/>
      <w:spacing w:before="100" w:beforeAutospacing="1" w:after="100" w:afterAutospacing="1"/>
      <w:outlineLvl w:val="0"/>
    </w:pPr>
    <w:rPr>
      <w:rFonts w:hint="eastAsia" w:ascii="宋体" w:hAnsi="宋体" w:eastAsia="宋体" w:cs="Times New Roman"/>
      <w:b/>
      <w:bCs/>
      <w:kern w:val="44"/>
      <w:sz w:val="48"/>
      <w:szCs w:val="48"/>
      <w:lang w:val="en-US" w:eastAsia="zh-CN" w:bidi="ar-SA"/>
    </w:rPr>
  </w:style>
  <w:style w:type="character" w:default="1" w:styleId="7">
    <w:name w:val="Default Paragraph Font"/>
    <w:unhideWhenUsed/>
    <w:qFormat/>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Salutation"/>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Balloon Text"/>
    <w:basedOn w:val="1"/>
    <w:link w:val="11"/>
    <w:qFormat/>
    <w:uiPriority w:val="0"/>
    <w:rPr>
      <w:sz w:val="18"/>
      <w:szCs w:val="18"/>
    </w:rPr>
  </w:style>
  <w:style w:type="paragraph" w:styleId="5">
    <w:name w:val="footer"/>
    <w:basedOn w:val="1"/>
    <w:link w:val="13"/>
    <w:unhideWhenUsed/>
    <w:qFormat/>
    <w:uiPriority w:val="0"/>
    <w:pPr>
      <w:tabs>
        <w:tab w:val="center" w:pos="4153"/>
        <w:tab w:val="right" w:pos="8306"/>
      </w:tabs>
      <w:snapToGrid w:val="0"/>
      <w:jc w:val="left"/>
    </w:pPr>
    <w:rPr>
      <w:sz w:val="18"/>
      <w:szCs w:val="18"/>
    </w:rPr>
  </w:style>
  <w:style w:type="paragraph" w:styleId="6">
    <w:name w:val="header"/>
    <w:basedOn w:val="1"/>
    <w:link w:val="12"/>
    <w:unhideWhenUsed/>
    <w:qFormat/>
    <w:uiPriority w:val="0"/>
    <w:pPr>
      <w:pBdr>
        <w:bottom w:val="single" w:color="auto" w:sz="6" w:space="1"/>
      </w:pBdr>
      <w:tabs>
        <w:tab w:val="center" w:pos="4153"/>
        <w:tab w:val="right" w:pos="8306"/>
      </w:tabs>
      <w:snapToGrid w:val="0"/>
      <w:jc w:val="center"/>
    </w:pPr>
    <w:rPr>
      <w:sz w:val="18"/>
      <w:szCs w:val="18"/>
    </w:rPr>
  </w:style>
  <w:style w:type="character" w:styleId="8">
    <w:name w:val="Hyperlink"/>
    <w:qFormat/>
    <w:uiPriority w:val="0"/>
    <w:rPr>
      <w:color w:val="0000FF"/>
      <w:u w:val="single"/>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1">
    <w:name w:val="批注框文本 Char"/>
    <w:basedOn w:val="7"/>
    <w:link w:val="4"/>
    <w:qFormat/>
    <w:uiPriority w:val="0"/>
    <w:rPr>
      <w:rFonts w:ascii="Calibri" w:hAnsi="Calibri" w:eastAsia="宋体" w:cs="Times New Roman"/>
      <w:kern w:val="2"/>
      <w:sz w:val="18"/>
      <w:szCs w:val="18"/>
    </w:rPr>
  </w:style>
  <w:style w:type="character" w:customStyle="1" w:styleId="12">
    <w:name w:val="页眉 Char"/>
    <w:basedOn w:val="7"/>
    <w:link w:val="6"/>
    <w:semiHidden/>
    <w:qFormat/>
    <w:uiPriority w:val="0"/>
    <w:rPr>
      <w:rFonts w:ascii="Calibri" w:hAnsi="Calibri" w:eastAsia="宋体" w:cs="Times New Roman"/>
      <w:kern w:val="2"/>
      <w:sz w:val="18"/>
      <w:szCs w:val="18"/>
    </w:rPr>
  </w:style>
  <w:style w:type="character" w:customStyle="1" w:styleId="13">
    <w:name w:val="页脚 Char"/>
    <w:basedOn w:val="7"/>
    <w:link w:val="5"/>
    <w:semiHidden/>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175</Words>
  <Characters>1004</Characters>
  <Lines>8</Lines>
  <Paragraphs>2</Paragraphs>
  <TotalTime>0</TotalTime>
  <ScaleCrop>false</ScaleCrop>
  <LinksUpToDate>false</LinksUpToDate>
  <CharactersWithSpaces>1177</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2018-12-12T22:10:00Z</dcterms:created>
  <dc:creator>跺跺耳朵</dc:creator>
  <cp:lastModifiedBy>LTGX04</cp:lastModifiedBy>
  <dcterms:modified xsi:type="dcterms:W3CDTF">2025-04-11T06:22:03Z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y fmtid="{D5CDD505-2E9C-101B-9397-08002B2CF9AE}" pid="3" name="ICV">
    <vt:lpwstr>6387D5DDB6754870ABDB94CAB547B2B5_11</vt:lpwstr>
  </property>
</Properties>
</file>