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89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hAnsi="仿宋_GB2312" w:eastAsia="仿宋_GB2312"/>
          <w:color w:val="auto"/>
          <w:kern w:val="2"/>
        </w:rPr>
      </w:pPr>
    </w:p>
    <w:p w14:paraId="0B606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hAnsi="仿宋_GB2312" w:eastAsia="仿宋_GB2312"/>
          <w:color w:val="auto"/>
          <w:kern w:val="2"/>
        </w:rPr>
      </w:pPr>
    </w:p>
    <w:p w14:paraId="63389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hAnsi="仿宋_GB2312" w:eastAsia="仿宋_GB2312"/>
          <w:color w:val="auto"/>
          <w:kern w:val="2"/>
        </w:rPr>
      </w:pPr>
    </w:p>
    <w:p w14:paraId="55F1C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hAnsi="仿宋_GB2312" w:eastAsia="仿宋_GB2312"/>
          <w:color w:val="auto"/>
          <w:kern w:val="2"/>
        </w:rPr>
      </w:pPr>
    </w:p>
    <w:p w14:paraId="3B65F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hAnsi="仿宋_GB2312" w:eastAsia="仿宋_GB2312"/>
          <w:color w:val="auto"/>
          <w:kern w:val="2"/>
        </w:rPr>
      </w:pPr>
    </w:p>
    <w:p w14:paraId="16310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hAnsi="仿宋_GB2312" w:eastAsia="仿宋_GB2312"/>
          <w:color w:val="auto"/>
          <w:kern w:val="2"/>
        </w:rPr>
      </w:pPr>
    </w:p>
    <w:p w14:paraId="043B5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</w:rPr>
        <w:t>鲁人社字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  <w14:ligatures w14:val="standardContextual"/>
        </w:rPr>
        <w:t>〔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  <w14:ligatures w14:val="standardContextual"/>
        </w:rPr>
        <w:t>2025〕33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</w:rPr>
        <w:t>号</w:t>
      </w:r>
    </w:p>
    <w:p w14:paraId="3B763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hAnsi="仿宋_GB2312" w:eastAsia="仿宋_GB2312"/>
          <w:color w:val="auto"/>
          <w:kern w:val="2"/>
        </w:rPr>
      </w:pPr>
    </w:p>
    <w:p w14:paraId="395CD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hAnsi="仿宋_GB2312" w:eastAsia="仿宋_GB2312"/>
          <w:color w:val="auto"/>
          <w:kern w:val="2"/>
        </w:rPr>
      </w:pPr>
    </w:p>
    <w:p w14:paraId="56290C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jc w:val="center"/>
        <w:textAlignment w:val="auto"/>
        <w:rPr>
          <w:rFonts w:hint="eastAsia" w:ascii="仿宋_GB2312" w:hAnsi="仿宋_GB2312" w:eastAsia="方正小标宋简体" w:cs="方正小标宋简体"/>
          <w:color w:val="auto"/>
          <w:kern w:val="2"/>
          <w:sz w:val="44"/>
          <w:szCs w:val="44"/>
          <w:lang w:eastAsia="zh"/>
        </w:rPr>
      </w:pPr>
      <w:r>
        <w:rPr>
          <w:rFonts w:hint="eastAsia" w:ascii="仿宋_GB2312" w:hAnsi="仿宋_GB2312" w:eastAsia="方正小标宋简体" w:cs="方正小标宋简体"/>
          <w:color w:val="auto"/>
          <w:kern w:val="2"/>
          <w:sz w:val="44"/>
          <w:szCs w:val="44"/>
          <w:lang w:eastAsia="zh"/>
        </w:rPr>
        <w:t>山东省人力资源和社会保障厅</w:t>
      </w:r>
    </w:p>
    <w:p w14:paraId="1864231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jc w:val="center"/>
        <w:textAlignment w:val="auto"/>
        <w:rPr>
          <w:rFonts w:ascii="仿宋_GB2312" w:hAnsi="仿宋_GB2312" w:eastAsia="方正小标宋简体" w:cs="方正小标宋简体"/>
          <w:color w:val="auto"/>
          <w:kern w:val="2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color w:val="auto"/>
          <w:kern w:val="2"/>
          <w:sz w:val="44"/>
          <w:szCs w:val="44"/>
        </w:rPr>
        <w:t>关于探索建立就业困难人员等职业困境人员</w:t>
      </w:r>
      <w:r>
        <w:rPr>
          <w:rFonts w:hint="eastAsia" w:ascii="仿宋_GB2312" w:hAnsi="仿宋_GB2312" w:eastAsia="方正小标宋简体" w:cs="方正小标宋简体"/>
          <w:color w:val="auto"/>
          <w:kern w:val="2"/>
          <w:sz w:val="44"/>
          <w:szCs w:val="44"/>
        </w:rPr>
        <w:br w:type="textWrapping"/>
      </w:r>
      <w:r>
        <w:rPr>
          <w:rFonts w:hint="eastAsia" w:ascii="仿宋_GB2312" w:hAnsi="仿宋_GB2312" w:eastAsia="方正小标宋简体" w:cs="方正小标宋简体"/>
          <w:color w:val="auto"/>
          <w:kern w:val="2"/>
          <w:sz w:val="44"/>
          <w:szCs w:val="44"/>
        </w:rPr>
        <w:t>纾困服务制度的通知</w:t>
      </w:r>
    </w:p>
    <w:p w14:paraId="1DBD9D2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</w:p>
    <w:p w14:paraId="0BBCAA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各市人力资源社会保障局：</w:t>
      </w:r>
    </w:p>
    <w:p w14:paraId="452E4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就业困难人员、特困家庭人员等处于职业困境中的人员，是稳就业的重中之重。为落实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"/>
        </w:rPr>
        <w:t>促进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高质量充分就业要求，坚持和发展新时代“枫桥经验”，加强基层治理体系和治理能力现代化建设，加大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职业困境人员的关爱帮扶力度，促进他们摆脱困境、尽早就业，经研究，确定探索建立职业困境人员纾困服务制度，现就有关事项通知如下：</w:t>
      </w:r>
    </w:p>
    <w:p w14:paraId="29976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黑体" w:cs="黑体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黑体" w:cs="黑体"/>
          <w:color w:val="auto"/>
          <w:kern w:val="2"/>
          <w:sz w:val="32"/>
          <w:szCs w:val="32"/>
        </w:rPr>
        <w:t>一、加强职业困境人员关注关爱</w:t>
      </w:r>
    </w:p>
    <w:p w14:paraId="065FC1D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32" w:firstLineChars="200"/>
        <w:jc w:val="both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职业困境是指劳动者由于受认知偏差、观念陈旧、技能短缺、资源不足及就业形势等主客观因素影响，处于择业迷茫、求职受挫、下岗失业、事业受阻等职业前景困顿状态。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当前面临职业困境人员主要是：大龄、身有残疾、长期失业人员等就业困难人员，困难家庭高校毕业生，育儿妇女，城乡公益性岗位补贴期满退出人员,工作岗位受到企业经营、行业变革等冲击人员等。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各市要主动适应就业形势的新变化和就业群体的新动态，将职业困境人员作为重点对象，纳入就业援助范围，采取一系列关爱支持措施，确保职业困境群体稳定。</w:t>
      </w:r>
    </w:p>
    <w:p w14:paraId="779AF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黑体" w:cs="黑体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黑体" w:cs="黑体"/>
          <w:color w:val="auto"/>
          <w:kern w:val="2"/>
          <w:sz w:val="32"/>
          <w:szCs w:val="32"/>
        </w:rPr>
        <w:t>二、开展职业困境人员精准识别</w:t>
      </w:r>
    </w:p>
    <w:p w14:paraId="36F6B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各级人力资源社会保障部门要会同相关部门，对职业困境相关人员建立主动识别、主动联系、主动服务“三主动”制度，通过入户走访、电话联系、数据比对等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"/>
        </w:rPr>
        <w:t>方式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定期走访模排，精准判定职业困境人员所属就业创业人群、就业创业困难类型、就业创业阶段等，建立人员数据库，加强动态管理服务。</w:t>
      </w:r>
    </w:p>
    <w:p w14:paraId="0BC7D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黑体" w:cs="黑体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黑体" w:cs="黑体"/>
          <w:color w:val="auto"/>
          <w:kern w:val="2"/>
          <w:sz w:val="32"/>
          <w:szCs w:val="32"/>
        </w:rPr>
        <w:t>三、明确职业困境人员纾困内容</w:t>
      </w:r>
    </w:p>
    <w:p w14:paraId="4EE2F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坚持以人为本、服务至上、无需不扰、有求必应的原则，在职业困境人员个人自愿前提下，以满足其实际需求为导向，根据职业困境的不同情形，分类推出系列“纾困服务包”，开展心理疏导、观念引导、前景向导、职业指导、能力辅导“五导”综合纾困服务，帮助职业困境人员纾解心结、树立正确就业观、了解就业形势、做好职业生涯规划、提升职业技能，促进职业困境人员积极投入到择业就业中。</w:t>
      </w:r>
    </w:p>
    <w:p w14:paraId="3B542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黑体" w:cs="黑体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黑体" w:cs="黑体"/>
          <w:color w:val="auto"/>
          <w:kern w:val="2"/>
          <w:sz w:val="32"/>
          <w:szCs w:val="32"/>
        </w:rPr>
        <w:t>四、加大职业困境人员政策支持</w:t>
      </w:r>
    </w:p>
    <w:p w14:paraId="73649BE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32" w:firstLineChars="200"/>
        <w:jc w:val="both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为符合条件失业登记的职业困境人员，按规定享受就业创业扶持政策。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把职业困境大学生纳入到“宏志助航”项目，统一组织参加职业能力培训，推荐人岗相适工作岗位。面向城乡公益性岗位补贴期满退出人员，衔接提供一批“爱心岗”“妈妈岗”“助残岗”“银龄岗”，促进其顺利转岗。</w:t>
      </w:r>
    </w:p>
    <w:p w14:paraId="09228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黑体" w:cs="黑体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黑体" w:cs="黑体"/>
          <w:color w:val="auto"/>
          <w:kern w:val="2"/>
          <w:sz w:val="32"/>
          <w:szCs w:val="32"/>
        </w:rPr>
        <w:t>五、解决职业困境人员突出问题</w:t>
      </w:r>
    </w:p>
    <w:p w14:paraId="59C6B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坚持问题导向，集中研究解决职业困境人员面对的突出矛盾和问题，对高校毕业生“缓就业”“慢就业”“不就业”问题、“35岁+”职场困境、“二孩”妈妈就业问题、超龄农民工“一刀切”清退等突出职业困境问题，深入开展调研，制定专门工作方案，提出切实可行的解决措施。对社会关注的职业困境热点问题，要做好解读工作，会同有关新闻媒体，主动发声、回应质疑、澄清事实、凝聚共识，主动引导舆论，做好舆情处置。</w:t>
      </w:r>
    </w:p>
    <w:p w14:paraId="21B2B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黑体" w:cs="黑体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黑体" w:cs="黑体"/>
          <w:color w:val="auto"/>
          <w:kern w:val="2"/>
          <w:sz w:val="32"/>
          <w:szCs w:val="32"/>
        </w:rPr>
        <w:t>六、充实职业困境人员服务力量</w:t>
      </w:r>
    </w:p>
    <w:p w14:paraId="4421D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各市要以现有各级就业援助工作体系为主体，落实职业困境人员纾困服务的职责，推行职业困境纾困服务“一工作站+双师制”，即每个县级人力资源社会保障部门设立1个职业困境人员纾困工作站，至少配备专职或兼职的1名职业指导师和1名心理咨询师。引入社会力量关爱职业困境人员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"/>
        </w:rPr>
        <w:t>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通过政府购买服务方式，委托专业的社会组织或机构开展专业纾困服务。支持“社会工作者＋志愿者”服务队伍，为有需要的职业困境人员提供符合身心特点的专业化服务。</w:t>
      </w:r>
    </w:p>
    <w:p w14:paraId="1E05E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黑体" w:cs="黑体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黑体" w:cs="黑体"/>
          <w:color w:val="auto"/>
          <w:kern w:val="2"/>
          <w:sz w:val="32"/>
          <w:szCs w:val="32"/>
        </w:rPr>
        <w:t>七、创新职业困境人员服务方法</w:t>
      </w:r>
    </w:p>
    <w:p w14:paraId="7D3EF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加强项目牵引，面向职业困境人员，组织实施职业困境纾困服务专门项目，打造工作品牌。搭建网络服务平台，实施“E路护航”职业困境人员关爱行动，为困境人员构建“智慧网”。开展爱（AI）+服务，引入人工智能技术，加强职业困境人员测评分析大模型等应用,构建预测、分析、跟踪、帮扶闭环服务机制。利用虚拟现实（VR）、增强现实（AR）等技术，创建虚拟工作场景和操作环境，让职业困境人员进行职业体验、技能实训等。开展职业困境人员社群服务，通过成员之间的合作、互动以及服务资源整合，增强成员归属感和认同感。</w:t>
      </w:r>
    </w:p>
    <w:p w14:paraId="445FB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黑体" w:cs="黑体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黑体" w:cs="黑体"/>
          <w:color w:val="auto"/>
          <w:kern w:val="2"/>
          <w:sz w:val="32"/>
          <w:szCs w:val="32"/>
        </w:rPr>
        <w:t>八、健全职业困境人员纾困机制</w:t>
      </w:r>
    </w:p>
    <w:p w14:paraId="6CF5D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要加强组织领导，推动将职业困境人员关爱服务纳入各级稳就业工作的重要内容。发挥各级政府就业促进和劳动保护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议事协调机构作用，落实各相关部门职责，形成协同工作合力。要加强系统施策，注重职业困境持续长效解决，推动问题源头化解，工作中注重人员和家庭隐私保护。要强化激励机制，在组织开展就业工作专项激励、培育高质量充分就业县等过程中，将推动职业困境人员关爱服务工作作为重要内容。要鼓励基层试点，设立职业困境人员关爱服务试点单位，在优化服务机制、构建服务体系、加强数字赋能等领域，打造一批特色品牌。要加强宣传引导，深入挖掘正面典型案例，总结特色经验做法，及时推广有益成果，发挥示范带动作用，营造全社会关心关爱职业困境人员的良好氛围。</w:t>
      </w:r>
    </w:p>
    <w:p w14:paraId="459C809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</w:p>
    <w:p w14:paraId="5448E9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ind w:firstLine="420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</w:p>
    <w:p w14:paraId="62B7EE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ind w:firstLine="3476" w:firstLineChars="1100"/>
        <w:textAlignment w:val="auto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山东省人力资源和社会保障厅</w:t>
      </w:r>
    </w:p>
    <w:p w14:paraId="60718E4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ind w:firstLine="4424" w:firstLineChars="14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2025年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日</w:t>
      </w:r>
    </w:p>
    <w:p w14:paraId="1DF3EE80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6" w:lineRule="exact"/>
        <w:ind w:left="0" w:leftChars="0" w:right="0" w:rightChars="0" w:firstLine="631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（此件主动公开）</w:t>
      </w:r>
    </w:p>
    <w:p w14:paraId="0FD29DCF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6" w:lineRule="exact"/>
        <w:ind w:left="0" w:leftChars="0" w:right="0" w:rightChars="0" w:firstLine="631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（联系单位：省人力资源社会保障厅就业促进处）</w:t>
      </w:r>
    </w:p>
    <w:p w14:paraId="49E63D74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6" w:lineRule="exact"/>
        <w:ind w:left="0" w:leftChars="0" w:right="0" w:rightChars="0" w:firstLine="631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</w:p>
    <w:p w14:paraId="49FACC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  <w:sectPr>
          <w:footerReference r:id="rId3" w:type="default"/>
          <w:pgSz w:w="11906" w:h="16838"/>
          <w:pgMar w:top="2098" w:right="1531" w:bottom="1814" w:left="1531" w:header="851" w:footer="1587" w:gutter="0"/>
          <w:pgNumType w:fmt="decimal"/>
          <w:cols w:space="0" w:num="1"/>
          <w:rtlGutter w:val="0"/>
          <w:docGrid w:type="linesAndChars" w:linePitch="587" w:charSpace="-849"/>
        </w:sectPr>
      </w:pPr>
    </w:p>
    <w:p w14:paraId="5F65D1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04C7DA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5AE24C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0A967D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660E91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3F2A92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577408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665CF4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5BEB65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6F8CF3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  <w:bookmarkStart w:id="0" w:name="_GoBack"/>
      <w:bookmarkEnd w:id="0"/>
    </w:p>
    <w:p w14:paraId="12ED66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1E12F2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51F765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315270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73E678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7F4627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50CB1BE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216F7A7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51FE514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0789A58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2C2E2F9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1846566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6BDCB6F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4B0C98B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3743E89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48C6768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6754D46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7C7BA93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2979E9E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165D97D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2ED7B4B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1F36A3A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58C77C0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010EFB3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207D04E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1D6A8BA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328D834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54B85DA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7BEF647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4C8B44E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2191D17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1EC3F8A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3859AD0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color w:val="auto"/>
        </w:rPr>
      </w:pPr>
    </w:p>
    <w:p w14:paraId="754BD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16" w:leftChars="100" w:right="316" w:rightChars="10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5615940" cy="0"/>
                <wp:effectExtent l="0" t="7620" r="0" b="82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-0.35pt;height:0pt;width:442.2pt;z-index:251661312;mso-width-relative:page;mso-height-relative:page;" filled="f" stroked="t" coordsize="21600,21600" o:gfxdata="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jbI681AAAAAQBAAAPAAAAAAAAAAEAIAAAACIAAABkcnMvZG93bnJldi54bWxQSwECFAAU&#10;AAAACACHTuJAjCLaNvUBAADlAwAADgAAAAAAAAABACAAAAAjAQAAZHJzL2Uyb0RvYy54bWxQSwUG&#10;AAAAAAYABgBZAQAAi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374015</wp:posOffset>
                </wp:positionV>
                <wp:extent cx="561594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9.45pt;height:0pt;width:442.2pt;z-index:251660288;mso-width-relative:page;mso-height-relative:page;" filled="f" stroked="t" coordsize="21600,21600" o:gfxdata="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0Ont3TAAAABgEAAA8AAAAAAAAAAQAgAAAAIgAAAGRycy9kb3ducmV2LnhtbFBLAQIUABQA&#10;AAAIAIdO4kA7x6E19QEAAOQDAAAOAAAAAAAAAAEAIAAAACIBAABkcnMvZTJvRG9jLnhtbFBLBQYA&#10;AAAABgAGAFkBAACJBQAAAAA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山东省人力资源和社会保障厅办公室   </w:t>
      </w:r>
      <w:r>
        <w:rPr>
          <w:rFonts w:hint="eastAsia" w:ascii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日印发</w:t>
      </w:r>
    </w:p>
    <w:p w14:paraId="5ED4C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16" w:leftChars="100" w:right="316" w:rightChars="10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"/>
        </w:rPr>
      </w:pPr>
      <w:r>
        <w:rPr>
          <w:rFonts w:hint="eastAsia" w:ascii="仿宋_GB2312" w:eastAsia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351790</wp:posOffset>
                </wp:positionV>
                <wp:extent cx="5615940" cy="0"/>
                <wp:effectExtent l="0" t="7620" r="0" b="825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27.7pt;height:0pt;width:442.2pt;mso-position-horizontal:center;z-index:251662336;mso-width-relative:page;mso-height-relative:page;" filled="f" stroked="t" coordsize="21600,21600" o:gfxdata="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vrRCJ1gAAAAYBAAAPAAAAAAAAAAEAIAAAACIAAABkcnMvZG93bnJldi54bWxQSwEC&#10;FAAUAAAACACHTuJAJ++9ifYBAADlAwAADgAAAAAAAAABACAAAAAlAQAAZHJzL2Uyb0RvYy54bWxQ&#10;SwUGAAAAAAYABgBZAQAAjQ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</w:rPr>
        <w:t>校核人：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王玉泉</w:t>
      </w:r>
    </w:p>
    <w:sectPr>
      <w:footerReference r:id="rId4" w:type="default"/>
      <w:pgSz w:w="11906" w:h="16838"/>
      <w:pgMar w:top="2098" w:right="1531" w:bottom="1814" w:left="1531" w:header="851" w:footer="1587" w:gutter="0"/>
      <w:pgNumType w:fmt="decimal"/>
      <w:cols w:space="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312C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28575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A0CC3B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2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YwDZX0wAAAAYBAAAPAAAAAAAAAAEAIAAAACIAAABkcnMvZG93bnJldi54bWxQSwEC&#10;FAAUAAAACACHTuJAuow4KzICAABh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A0CC3B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C109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54E33"/>
    <w:rsid w:val="002131E3"/>
    <w:rsid w:val="0022312C"/>
    <w:rsid w:val="003605EC"/>
    <w:rsid w:val="004367E1"/>
    <w:rsid w:val="004E68C8"/>
    <w:rsid w:val="007E30E5"/>
    <w:rsid w:val="00871E2E"/>
    <w:rsid w:val="0091573E"/>
    <w:rsid w:val="00A70B8F"/>
    <w:rsid w:val="00AA195F"/>
    <w:rsid w:val="00B2194F"/>
    <w:rsid w:val="00D37F87"/>
    <w:rsid w:val="00F536A7"/>
    <w:rsid w:val="031B0D0D"/>
    <w:rsid w:val="08CF2B34"/>
    <w:rsid w:val="08E81855"/>
    <w:rsid w:val="0911242E"/>
    <w:rsid w:val="096F5CD0"/>
    <w:rsid w:val="0BDC525F"/>
    <w:rsid w:val="0D9E204C"/>
    <w:rsid w:val="12B72501"/>
    <w:rsid w:val="13FC1CE0"/>
    <w:rsid w:val="19823F28"/>
    <w:rsid w:val="207D4CAC"/>
    <w:rsid w:val="25290DD3"/>
    <w:rsid w:val="25F83C08"/>
    <w:rsid w:val="2F1C141F"/>
    <w:rsid w:val="309A5071"/>
    <w:rsid w:val="350B5F87"/>
    <w:rsid w:val="36C52AC6"/>
    <w:rsid w:val="38220B87"/>
    <w:rsid w:val="39754E33"/>
    <w:rsid w:val="39DB6195"/>
    <w:rsid w:val="3FAA090B"/>
    <w:rsid w:val="42567AB5"/>
    <w:rsid w:val="46CD5644"/>
    <w:rsid w:val="4F5734E4"/>
    <w:rsid w:val="58F16C7A"/>
    <w:rsid w:val="58F71A58"/>
    <w:rsid w:val="5BF60D08"/>
    <w:rsid w:val="5CA25726"/>
    <w:rsid w:val="5CFF64E7"/>
    <w:rsid w:val="61823678"/>
    <w:rsid w:val="63A13832"/>
    <w:rsid w:val="64E74417"/>
    <w:rsid w:val="65B06CB4"/>
    <w:rsid w:val="69095760"/>
    <w:rsid w:val="6D8150DD"/>
    <w:rsid w:val="6ED15A0A"/>
    <w:rsid w:val="6F4B297B"/>
    <w:rsid w:val="71E64277"/>
    <w:rsid w:val="72794315"/>
    <w:rsid w:val="763975E4"/>
    <w:rsid w:val="7B2A14B9"/>
    <w:rsid w:val="7B5919EC"/>
    <w:rsid w:val="7FFF8920"/>
    <w:rsid w:val="B86EF59F"/>
    <w:rsid w:val="FEDF48C5"/>
    <w:rsid w:val="FFDAF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ind w:firstLine="627" w:firstLineChars="196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next w:val="8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"/>
    </w:rPr>
  </w:style>
  <w:style w:type="paragraph" w:customStyle="1" w:styleId="8">
    <w:name w:val="Default"/>
    <w:basedOn w:val="1"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Calibri" w:eastAsia="黑体" w:cs="黑体"/>
      <w:color w:val="000000"/>
      <w:kern w:val="0"/>
      <w:sz w:val="32"/>
      <w:szCs w:val="32"/>
      <w:lang w:val="en-US" w:eastAsia="zh-CN" w:bidi="ar"/>
    </w:rPr>
  </w:style>
  <w:style w:type="character" w:customStyle="1" w:styleId="11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306</Words>
  <Characters>1749</Characters>
  <Lines>1</Lines>
  <Paragraphs>1</Paragraphs>
  <TotalTime>1</TotalTime>
  <ScaleCrop>false</ScaleCrop>
  <LinksUpToDate>false</LinksUpToDate>
  <CharactersWithSpaces>2051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2025-03-08T10:12:00Z</dcterms:created>
  <dc:creator>Tone-董廷杰</dc:creator>
  <cp:lastModifiedBy>LTGX03</cp:lastModifiedBy>
  <cp:lastPrinted>2025-03-25T14:32:00Z</cp:lastPrinted>
  <dcterms:modified xsi:type="dcterms:W3CDTF">2025-04-03T03:00:07Z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FC10FC84577A48B3BABA2C9AA5AA7D54_13</vt:lpwstr>
  </property>
  <property fmtid="{D5CDD505-2E9C-101B-9397-08002B2CF9AE}" pid="4" name="KSOTemplateDocerSaveRecord">
    <vt:lpwstr>eyJoZGlkIjoiZDJjMTlmOWI2YjliZGRhZDkwNTU2OGJkNmFkYTU0YzAifQ==</vt:lpwstr>
  </property>
</Properties>
</file>