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baseline"/>
        <w:rPr>
          <w:rFonts w:ascii="方正小标宋简体" w:hAnsi="宋体" w:eastAsia="方正小标宋简体" w:cs="宋体"/>
          <w:b/>
          <w:color w:val="000000"/>
          <w:sz w:val="44"/>
          <w:szCs w:val="44"/>
        </w:rPr>
      </w:pPr>
      <w:r>
        <w:rPr>
          <w:rFonts w:hint="eastAsia" w:ascii="方正小标宋简体" w:hAnsi="宋体" w:eastAsia="方正小标宋简体" w:cs="宋体"/>
          <w:b/>
          <w:color w:val="000000"/>
          <w:sz w:val="44"/>
          <w:szCs w:val="44"/>
        </w:rPr>
        <w:t>网络与信息安全管理员</w:t>
      </w:r>
      <w:r>
        <w:rPr>
          <w:rFonts w:hint="eastAsia" w:ascii="方正小标宋简体" w:hAnsi="宋体" w:eastAsia="方正小标宋简体" w:cs="宋体"/>
          <w:b/>
          <w:color w:val="000000"/>
          <w:sz w:val="44"/>
          <w:szCs w:val="44"/>
          <w:lang w:eastAsia="zh-CN"/>
        </w:rPr>
        <w:t>（信息安全管理员）</w:t>
      </w:r>
      <w:r>
        <w:rPr>
          <w:rFonts w:hint="eastAsia" w:ascii="方正小标宋简体" w:hAnsi="宋体" w:eastAsia="方正小标宋简体" w:cs="宋体"/>
          <w:b/>
          <w:color w:val="000000"/>
          <w:sz w:val="44"/>
          <w:szCs w:val="44"/>
        </w:rPr>
        <w:t>职业技能竞赛技术文件</w:t>
      </w:r>
    </w:p>
    <w:p>
      <w:pPr>
        <w:jc w:val="center"/>
        <w:textAlignment w:val="baseline"/>
        <w:rPr>
          <w:rFonts w:ascii="方正小标宋简体" w:hAnsi="宋体" w:eastAsia="方正小标宋简体" w:cs="宋体"/>
          <w:b/>
          <w:color w:val="000000"/>
          <w:sz w:val="44"/>
          <w:szCs w:val="44"/>
        </w:rPr>
      </w:pPr>
    </w:p>
    <w:p>
      <w:pPr>
        <w:numPr>
          <w:ilvl w:val="0"/>
          <w:numId w:val="2"/>
        </w:numPr>
        <w:spacing w:line="360" w:lineRule="auto"/>
        <w:outlineLvl w:val="0"/>
        <w:rPr>
          <w:rFonts w:ascii="宋体" w:hAnsi="宋体" w:cs="宋体"/>
          <w:b/>
          <w:color w:val="000000"/>
          <w:sz w:val="32"/>
          <w:szCs w:val="32"/>
        </w:rPr>
      </w:pPr>
      <w:bookmarkStart w:id="0" w:name="_Toc3314"/>
      <w:r>
        <w:rPr>
          <w:rFonts w:hint="eastAsia" w:ascii="宋体" w:hAnsi="宋体" w:cs="宋体"/>
          <w:b/>
          <w:color w:val="000000"/>
          <w:sz w:val="32"/>
          <w:szCs w:val="32"/>
        </w:rPr>
        <w:t>竞赛项目</w:t>
      </w:r>
    </w:p>
    <w:p>
      <w:pPr>
        <w:spacing w:line="360" w:lineRule="auto"/>
        <w:ind w:left="642"/>
        <w:outlineLvl w:val="0"/>
        <w:rPr>
          <w:rFonts w:hint="eastAsia" w:ascii="仿宋" w:hAnsi="仿宋" w:eastAsia="仿宋" w:cs="仿宋"/>
          <w:bCs/>
          <w:color w:val="000000"/>
          <w:sz w:val="28"/>
          <w:szCs w:val="28"/>
          <w:lang w:eastAsia="zh-CN"/>
        </w:rPr>
      </w:pPr>
      <w:r>
        <w:rPr>
          <w:rFonts w:hint="eastAsia" w:ascii="仿宋" w:hAnsi="仿宋" w:eastAsia="仿宋" w:cs="仿宋"/>
          <w:bCs/>
          <w:color w:val="000000"/>
          <w:sz w:val="32"/>
          <w:szCs w:val="32"/>
        </w:rPr>
        <w:t>网络与信息安全管理员</w:t>
      </w:r>
      <w:r>
        <w:rPr>
          <w:rFonts w:hint="eastAsia" w:ascii="仿宋" w:hAnsi="仿宋" w:eastAsia="仿宋" w:cs="仿宋"/>
          <w:bCs/>
          <w:color w:val="000000"/>
          <w:sz w:val="32"/>
          <w:szCs w:val="32"/>
          <w:lang w:eastAsia="zh-CN"/>
        </w:rPr>
        <w:t>（信息安全管理员）</w:t>
      </w:r>
    </w:p>
    <w:p>
      <w:pPr>
        <w:spacing w:line="360" w:lineRule="auto"/>
        <w:ind w:firstLine="642" w:firstLineChars="200"/>
        <w:outlineLvl w:val="0"/>
        <w:rPr>
          <w:rFonts w:ascii="宋体" w:hAnsi="宋体" w:cs="宋体"/>
          <w:b/>
          <w:color w:val="000000"/>
          <w:sz w:val="32"/>
          <w:szCs w:val="32"/>
        </w:rPr>
      </w:pPr>
      <w:r>
        <w:rPr>
          <w:rFonts w:hint="eastAsia" w:ascii="宋体" w:hAnsi="宋体" w:cs="宋体"/>
          <w:b/>
          <w:color w:val="000000"/>
          <w:sz w:val="32"/>
          <w:szCs w:val="32"/>
        </w:rPr>
        <w:t>二、竞赛命题</w:t>
      </w:r>
      <w:bookmarkEnd w:id="0"/>
      <w:r>
        <w:rPr>
          <w:rFonts w:hint="eastAsia" w:ascii="宋体" w:hAnsi="宋体" w:cs="宋体"/>
          <w:b/>
          <w:color w:val="000000"/>
          <w:sz w:val="32"/>
          <w:szCs w:val="32"/>
        </w:rPr>
        <w:t>说明</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（一）竞赛制定标准</w:t>
      </w:r>
      <w:bookmarkStart w:id="5" w:name="_GoBack"/>
      <w:bookmarkEnd w:id="5"/>
    </w:p>
    <w:p>
      <w:pPr>
        <w:spacing w:line="360" w:lineRule="auto"/>
        <w:ind w:firstLine="640" w:firstLineChars="200"/>
        <w:rPr>
          <w:rFonts w:ascii="仿宋" w:hAnsi="仿宋" w:eastAsia="仿宋_GB2312" w:cs="仿宋"/>
          <w:color w:val="000000"/>
          <w:sz w:val="32"/>
          <w:szCs w:val="32"/>
        </w:rPr>
      </w:pPr>
      <w:r>
        <w:rPr>
          <w:rFonts w:hint="eastAsia" w:ascii="仿宋" w:hAnsi="仿宋" w:eastAsia="仿宋" w:cs="仿宋"/>
          <w:color w:val="000000"/>
          <w:sz w:val="32"/>
          <w:szCs w:val="32"/>
        </w:rPr>
        <w:t>本次竞赛以网络与信息安全管理员国家职业技能标准(三级)要求为基础，</w:t>
      </w:r>
      <w:r>
        <w:rPr>
          <w:rFonts w:hint="eastAsia" w:ascii="仿宋" w:hAnsi="仿宋" w:eastAsia="仿宋" w:cs="仿宋"/>
          <w:bCs/>
          <w:color w:val="000000"/>
          <w:sz w:val="32"/>
          <w:szCs w:val="32"/>
        </w:rPr>
        <w:t>并适当增加部分网络与信息安全管理员新技能和</w:t>
      </w:r>
      <w:r>
        <w:rPr>
          <w:rFonts w:hint="eastAsia" w:ascii="仿宋" w:hAnsi="仿宋" w:eastAsia="仿宋" w:cs="仿宋"/>
          <w:color w:val="000000"/>
          <w:sz w:val="32"/>
          <w:szCs w:val="32"/>
        </w:rPr>
        <w:t>新要求</w:t>
      </w:r>
      <w:r>
        <w:rPr>
          <w:rFonts w:hint="eastAsia" w:ascii="仿宋" w:hAnsi="仿宋" w:eastAsia="仿宋" w:cs="仿宋"/>
          <w:bCs/>
          <w:color w:val="000000"/>
          <w:sz w:val="32"/>
          <w:szCs w:val="32"/>
        </w:rPr>
        <w:t>等相关内容。</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（二）命题原则</w:t>
      </w:r>
    </w:p>
    <w:p>
      <w:pPr>
        <w:adjustRightInd w:val="0"/>
        <w:snapToGrid w:val="0"/>
        <w:spacing w:line="360" w:lineRule="auto"/>
        <w:ind w:firstLine="640" w:firstLineChars="200"/>
        <w:rPr>
          <w:rFonts w:ascii="仿宋" w:hAnsi="仿宋" w:eastAsia="仿宋" w:cs="仿宋"/>
          <w:color w:val="000000"/>
          <w:sz w:val="32"/>
          <w:szCs w:val="32"/>
        </w:rPr>
      </w:pPr>
      <w:r>
        <w:rPr>
          <w:rFonts w:hint="eastAsia" w:ascii="仿宋" w:hAnsi="仿宋" w:eastAsia="仿宋" w:cs="仿宋"/>
          <w:bCs/>
          <w:color w:val="000000"/>
          <w:sz w:val="32"/>
          <w:szCs w:val="32"/>
        </w:rPr>
        <w:t>依据国家职业技能标准，注重基本技能，体现现代技术，结合行业实际，在命题内容上力求体现“以职业活动为导向，以职业技能为核心”的指导思想，在命题编制结构上，针对网络与信息安全管理员行业，按照理论与实操相结合的方式进行命题组合，竞赛考核尽可能体现网络与信息安全管理员职业综合能力要求，并对网络与信息安全管理员行业技能人才培养起到示范引导作用。</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（三）竞赛命题范围</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1、理论试题命题范围：</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理论试题以网络与信息安全管理员职业道德、网络与信息安全管理员高级工应掌握的基本知识、相关专业知识为主要考核内容。</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2、操作技能试题：</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参照网络与信息安全管理员国家职业技能标准三级/高级工技能考核标准，并结合网络安全工作实际制订竞赛操作试题。</w:t>
      </w:r>
    </w:p>
    <w:p>
      <w:pPr>
        <w:spacing w:line="360" w:lineRule="auto"/>
        <w:outlineLvl w:val="0"/>
        <w:rPr>
          <w:rFonts w:ascii="宋体" w:hAnsi="宋体" w:cs="宋体"/>
          <w:b/>
          <w:color w:val="000000"/>
          <w:sz w:val="32"/>
          <w:szCs w:val="32"/>
        </w:rPr>
      </w:pPr>
      <w:bookmarkStart w:id="1" w:name="_Toc9593"/>
      <w:r>
        <w:rPr>
          <w:rFonts w:hint="eastAsia" w:ascii="宋体" w:hAnsi="宋体" w:cs="宋体"/>
          <w:b/>
          <w:color w:val="000000"/>
          <w:sz w:val="32"/>
          <w:szCs w:val="32"/>
        </w:rPr>
        <w:t xml:space="preserve">    三、竞赛形式及内容</w:t>
      </w:r>
      <w:bookmarkEnd w:id="1"/>
    </w:p>
    <w:p>
      <w:pPr>
        <w:spacing w:line="360" w:lineRule="auto"/>
        <w:ind w:firstLine="640" w:firstLineChars="200"/>
        <w:rPr>
          <w:rFonts w:ascii="楷体" w:hAnsi="楷体" w:eastAsia="楷体" w:cs="楷体"/>
          <w:color w:val="000000"/>
          <w:sz w:val="32"/>
          <w:szCs w:val="32"/>
        </w:rPr>
      </w:pPr>
      <w:bookmarkStart w:id="2" w:name="_Toc25967"/>
      <w:r>
        <w:rPr>
          <w:rFonts w:hint="eastAsia" w:ascii="楷体" w:hAnsi="楷体" w:eastAsia="楷体" w:cs="楷体"/>
          <w:color w:val="000000"/>
          <w:sz w:val="32"/>
          <w:szCs w:val="32"/>
        </w:rPr>
        <w:t>（一）竞赛形式</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采用单人竞赛形式，独立完成规定的工作任务。</w:t>
      </w:r>
      <w:bookmarkEnd w:id="2"/>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（二）竞赛内容</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竞赛内容包括理论知识和技能操作两部分。</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1、理论知识竞赛</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理论知识竞赛以电脑机考方式进行，考试时间</w:t>
      </w:r>
      <w:r>
        <w:rPr>
          <w:rFonts w:ascii="仿宋" w:hAnsi="仿宋" w:eastAsia="仿宋" w:cs="仿宋"/>
          <w:color w:val="000000"/>
          <w:sz w:val="32"/>
          <w:szCs w:val="32"/>
        </w:rPr>
        <w:t>9</w:t>
      </w:r>
      <w:r>
        <w:rPr>
          <w:rFonts w:hint="eastAsia" w:ascii="仿宋" w:hAnsi="仿宋" w:eastAsia="仿宋" w:cs="仿宋"/>
          <w:color w:val="000000"/>
          <w:sz w:val="32"/>
          <w:szCs w:val="32"/>
        </w:rPr>
        <w:t>0分钟。试卷题型为单选、多选、判断，满分100分，成绩占竞赛总成绩</w:t>
      </w:r>
      <w:r>
        <w:rPr>
          <w:rFonts w:ascii="仿宋" w:hAnsi="仿宋" w:eastAsia="仿宋" w:cs="仿宋"/>
          <w:color w:val="000000"/>
          <w:sz w:val="32"/>
          <w:szCs w:val="32"/>
        </w:rPr>
        <w:t>2</w:t>
      </w:r>
      <w:r>
        <w:rPr>
          <w:rFonts w:hint="eastAsia" w:ascii="仿宋" w:hAnsi="仿宋" w:eastAsia="仿宋" w:cs="仿宋"/>
          <w:color w:val="000000"/>
          <w:sz w:val="32"/>
          <w:szCs w:val="32"/>
        </w:rPr>
        <w:t>0%。</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2、技能操作竞赛</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技能操作竞赛为现场操作。选手进行以下试题的操作，技能操作成绩占竞赛总成绩</w:t>
      </w:r>
      <w:r>
        <w:rPr>
          <w:rFonts w:ascii="仿宋" w:hAnsi="仿宋" w:eastAsia="仿宋" w:cs="仿宋"/>
          <w:sz w:val="32"/>
          <w:szCs w:val="32"/>
        </w:rPr>
        <w:t>8</w:t>
      </w:r>
      <w:r>
        <w:rPr>
          <w:rFonts w:hint="eastAsia" w:ascii="仿宋" w:hAnsi="仿宋" w:eastAsia="仿宋" w:cs="仿宋"/>
          <w:sz w:val="32"/>
          <w:szCs w:val="32"/>
        </w:rPr>
        <w:t>0%。</w:t>
      </w:r>
    </w:p>
    <w:tbl>
      <w:tblPr>
        <w:tblStyle w:val="11"/>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658"/>
        <w:gridCol w:w="5718"/>
        <w:gridCol w:w="783"/>
        <w:gridCol w:w="1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444" w:type="dxa"/>
            <w:tcBorders>
              <w:top w:val="single" w:color="auto" w:sz="4" w:space="0"/>
              <w:left w:val="single" w:color="auto" w:sz="4" w:space="0"/>
              <w:bottom w:val="single" w:color="auto" w:sz="4" w:space="0"/>
              <w:right w:val="single" w:color="auto" w:sz="4" w:space="0"/>
            </w:tcBorders>
            <w:noWrap/>
          </w:tcPr>
          <w:p>
            <w:pPr>
              <w:pStyle w:val="19"/>
              <w:snapToGrid w:val="0"/>
              <w:spacing w:before="120" w:beforeLines="50" w:after="120" w:afterLines="50" w:line="240" w:lineRule="atLeast"/>
              <w:jc w:val="center"/>
              <w:rPr>
                <w:rFonts w:ascii="仿宋" w:hAnsi="仿宋" w:eastAsia="仿宋" w:cs="仿宋"/>
                <w:b/>
                <w:caps/>
                <w:color w:val="auto"/>
                <w:sz w:val="28"/>
                <w:szCs w:val="28"/>
                <w:lang w:val="en-US" w:eastAsia="zh-CN"/>
              </w:rPr>
            </w:pPr>
            <w:r>
              <w:rPr>
                <w:rFonts w:hint="eastAsia" w:ascii="仿宋" w:hAnsi="仿宋" w:eastAsia="仿宋" w:cs="仿宋"/>
                <w:b/>
                <w:caps/>
                <w:color w:val="auto"/>
                <w:sz w:val="28"/>
                <w:szCs w:val="28"/>
                <w:lang w:val="en-US" w:eastAsia="zh-CN"/>
              </w:rPr>
              <w:t>序号</w:t>
            </w:r>
          </w:p>
        </w:tc>
        <w:tc>
          <w:tcPr>
            <w:tcW w:w="1658" w:type="dxa"/>
            <w:tcBorders>
              <w:top w:val="single" w:color="auto" w:sz="4" w:space="0"/>
              <w:left w:val="single" w:color="auto" w:sz="4" w:space="0"/>
              <w:bottom w:val="single" w:color="auto" w:sz="4" w:space="0"/>
              <w:right w:val="single" w:color="auto" w:sz="4" w:space="0"/>
            </w:tcBorders>
            <w:noWrap/>
            <w:vAlign w:val="center"/>
          </w:tcPr>
          <w:p>
            <w:pPr>
              <w:pStyle w:val="19"/>
              <w:snapToGrid w:val="0"/>
              <w:spacing w:before="120" w:beforeLines="50" w:after="120" w:afterLines="50" w:line="240" w:lineRule="atLeast"/>
              <w:jc w:val="center"/>
              <w:rPr>
                <w:rFonts w:ascii="仿宋" w:hAnsi="仿宋" w:eastAsia="仿宋" w:cs="仿宋"/>
                <w:b/>
                <w:caps/>
                <w:color w:val="auto"/>
                <w:sz w:val="28"/>
                <w:szCs w:val="28"/>
                <w:lang w:val="en-US" w:eastAsia="zh-CN"/>
              </w:rPr>
            </w:pPr>
            <w:r>
              <w:rPr>
                <w:rFonts w:hint="eastAsia" w:ascii="仿宋" w:hAnsi="仿宋" w:eastAsia="仿宋" w:cs="仿宋"/>
                <w:b/>
                <w:caps/>
                <w:color w:val="auto"/>
                <w:sz w:val="28"/>
                <w:szCs w:val="28"/>
                <w:lang w:val="en-US" w:eastAsia="zh-CN"/>
              </w:rPr>
              <w:t>竞赛项目</w:t>
            </w:r>
          </w:p>
        </w:tc>
        <w:tc>
          <w:tcPr>
            <w:tcW w:w="5718" w:type="dxa"/>
            <w:tcBorders>
              <w:top w:val="single" w:color="auto" w:sz="4" w:space="0"/>
              <w:left w:val="single" w:color="auto" w:sz="4" w:space="0"/>
              <w:bottom w:val="single" w:color="auto" w:sz="4" w:space="0"/>
              <w:right w:val="single" w:color="auto" w:sz="4" w:space="0"/>
            </w:tcBorders>
            <w:noWrap/>
            <w:vAlign w:val="center"/>
          </w:tcPr>
          <w:p>
            <w:pPr>
              <w:pStyle w:val="19"/>
              <w:snapToGrid w:val="0"/>
              <w:spacing w:before="120" w:beforeLines="50" w:after="120" w:afterLines="50" w:line="240" w:lineRule="atLeast"/>
              <w:jc w:val="center"/>
              <w:rPr>
                <w:rFonts w:ascii="仿宋" w:hAnsi="仿宋" w:eastAsia="仿宋" w:cs="仿宋"/>
                <w:b/>
                <w:caps/>
                <w:color w:val="auto"/>
                <w:sz w:val="28"/>
                <w:szCs w:val="28"/>
                <w:lang w:val="en-US" w:eastAsia="zh-CN"/>
              </w:rPr>
            </w:pPr>
            <w:r>
              <w:rPr>
                <w:rFonts w:hint="eastAsia" w:ascii="仿宋" w:hAnsi="仿宋" w:eastAsia="仿宋" w:cs="仿宋"/>
                <w:b/>
                <w:caps/>
                <w:color w:val="auto"/>
                <w:sz w:val="28"/>
                <w:szCs w:val="28"/>
                <w:lang w:val="en-US" w:eastAsia="zh-CN"/>
              </w:rPr>
              <w:t>竞赛内容</w:t>
            </w:r>
          </w:p>
        </w:tc>
        <w:tc>
          <w:tcPr>
            <w:tcW w:w="783" w:type="dxa"/>
            <w:tcBorders>
              <w:top w:val="single" w:color="auto" w:sz="4" w:space="0"/>
              <w:left w:val="single" w:color="auto" w:sz="4" w:space="0"/>
              <w:bottom w:val="single" w:color="auto" w:sz="4" w:space="0"/>
              <w:right w:val="single" w:color="auto" w:sz="4" w:space="0"/>
            </w:tcBorders>
            <w:noWrap/>
            <w:vAlign w:val="center"/>
          </w:tcPr>
          <w:p>
            <w:pPr>
              <w:pStyle w:val="19"/>
              <w:snapToGrid w:val="0"/>
              <w:spacing w:before="120" w:beforeLines="50" w:after="120" w:afterLines="50" w:line="240" w:lineRule="atLeast"/>
              <w:jc w:val="center"/>
              <w:rPr>
                <w:rFonts w:ascii="仿宋" w:hAnsi="仿宋" w:eastAsia="仿宋" w:cs="仿宋"/>
                <w:b/>
                <w:caps/>
                <w:color w:val="auto"/>
                <w:sz w:val="28"/>
                <w:szCs w:val="28"/>
                <w:lang w:eastAsia="zh-CN"/>
              </w:rPr>
            </w:pPr>
            <w:r>
              <w:rPr>
                <w:rFonts w:hint="eastAsia" w:ascii="仿宋" w:hAnsi="仿宋" w:eastAsia="仿宋" w:cs="仿宋"/>
                <w:b/>
                <w:caps/>
                <w:color w:val="auto"/>
                <w:sz w:val="28"/>
                <w:szCs w:val="28"/>
                <w:lang w:val="en-US" w:eastAsia="zh-CN"/>
              </w:rPr>
              <w:t>成绩</w:t>
            </w:r>
            <w:r>
              <w:rPr>
                <w:rFonts w:hint="eastAsia" w:ascii="仿宋" w:hAnsi="仿宋" w:eastAsia="仿宋" w:cs="仿宋"/>
                <w:b/>
                <w:caps/>
                <w:color w:val="auto"/>
                <w:sz w:val="28"/>
                <w:szCs w:val="28"/>
                <w:lang w:eastAsia="zh-CN"/>
              </w:rPr>
              <w:t>比例</w:t>
            </w:r>
          </w:p>
        </w:tc>
        <w:tc>
          <w:tcPr>
            <w:tcW w:w="1349" w:type="dxa"/>
            <w:tcBorders>
              <w:top w:val="single" w:color="auto" w:sz="4" w:space="0"/>
              <w:left w:val="single" w:color="auto" w:sz="4" w:space="0"/>
              <w:bottom w:val="single" w:color="auto" w:sz="4" w:space="0"/>
              <w:right w:val="single" w:color="auto" w:sz="4" w:space="0"/>
            </w:tcBorders>
            <w:noWrap/>
            <w:vAlign w:val="center"/>
          </w:tcPr>
          <w:p>
            <w:pPr>
              <w:pStyle w:val="19"/>
              <w:snapToGrid w:val="0"/>
              <w:spacing w:before="120" w:beforeLines="50" w:after="120" w:afterLines="50" w:line="240" w:lineRule="atLeast"/>
              <w:jc w:val="center"/>
              <w:rPr>
                <w:rFonts w:ascii="仿宋" w:hAnsi="仿宋" w:eastAsia="仿宋" w:cs="仿宋"/>
                <w:b/>
                <w:caps/>
                <w:color w:val="auto"/>
                <w:sz w:val="28"/>
                <w:szCs w:val="28"/>
                <w:lang w:val="en-US" w:eastAsia="zh-CN"/>
              </w:rPr>
            </w:pPr>
            <w:r>
              <w:rPr>
                <w:rFonts w:hint="eastAsia" w:ascii="仿宋" w:hAnsi="仿宋" w:eastAsia="仿宋" w:cs="仿宋"/>
                <w:b/>
                <w:caps/>
                <w:color w:val="auto"/>
                <w:sz w:val="28"/>
                <w:szCs w:val="28"/>
                <w:lang w:val="en-US" w:eastAsia="zh-CN"/>
              </w:rPr>
              <w:t>比赛方式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2" w:hRule="atLeast"/>
          <w:jc w:val="center"/>
        </w:trPr>
        <w:tc>
          <w:tcPr>
            <w:tcW w:w="444" w:type="dxa"/>
            <w:tcBorders>
              <w:top w:val="single" w:color="auto" w:sz="4" w:space="0"/>
              <w:left w:val="single" w:color="auto" w:sz="4" w:space="0"/>
              <w:right w:val="single" w:color="auto" w:sz="4" w:space="0"/>
            </w:tcBorders>
            <w:noWrap/>
            <w:vAlign w:val="center"/>
          </w:tcPr>
          <w:p>
            <w:pPr>
              <w:snapToGrid w:val="0"/>
              <w:spacing w:line="240" w:lineRule="atLeast"/>
              <w:jc w:val="center"/>
              <w:rPr>
                <w:rFonts w:ascii="仿宋" w:hAnsi="仿宋" w:eastAsia="仿宋" w:cs="仿宋"/>
                <w:kern w:val="0"/>
                <w:sz w:val="28"/>
                <w:szCs w:val="28"/>
              </w:rPr>
            </w:pPr>
            <w:r>
              <w:rPr>
                <w:rFonts w:ascii="仿宋" w:hAnsi="仿宋" w:eastAsia="仿宋" w:cs="仿宋"/>
                <w:sz w:val="28"/>
                <w:szCs w:val="28"/>
              </w:rPr>
              <w:t>1</w:t>
            </w:r>
          </w:p>
        </w:tc>
        <w:tc>
          <w:tcPr>
            <w:tcW w:w="1658" w:type="dxa"/>
            <w:tcBorders>
              <w:top w:val="single" w:color="auto" w:sz="4" w:space="0"/>
              <w:left w:val="single" w:color="auto" w:sz="4" w:space="0"/>
              <w:right w:val="single" w:color="auto" w:sz="4" w:space="0"/>
            </w:tcBorders>
            <w:noWrap/>
            <w:vAlign w:val="center"/>
          </w:tcPr>
          <w:p>
            <w:pPr>
              <w:snapToGrid w:val="0"/>
              <w:spacing w:line="240" w:lineRule="atLeast"/>
              <w:jc w:val="center"/>
              <w:rPr>
                <w:rFonts w:ascii="仿宋" w:hAnsi="仿宋" w:eastAsia="仿宋" w:cs="仿宋"/>
                <w:kern w:val="0"/>
                <w:sz w:val="28"/>
                <w:szCs w:val="28"/>
              </w:rPr>
            </w:pPr>
            <w:r>
              <w:rPr>
                <w:rFonts w:hint="eastAsia" w:ascii="仿宋" w:hAnsi="仿宋" w:eastAsia="仿宋" w:cs="仿宋"/>
                <w:sz w:val="28"/>
                <w:szCs w:val="28"/>
              </w:rPr>
              <w:t>网络与信息安全防护</w:t>
            </w:r>
          </w:p>
        </w:tc>
        <w:tc>
          <w:tcPr>
            <w:tcW w:w="5718" w:type="dxa"/>
            <w:tcBorders>
              <w:top w:val="single" w:color="auto" w:sz="4" w:space="0"/>
              <w:left w:val="single" w:color="auto" w:sz="4" w:space="0"/>
              <w:right w:val="single" w:color="auto" w:sz="4" w:space="0"/>
            </w:tcBorders>
            <w:noWrap/>
            <w:vAlign w:val="center"/>
          </w:tcPr>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-能根据业务场景，规划网络地址，构建网络拓扑，配置交换机、路由器等网络设备接口信息</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-能根据网络拓扑，配置路由协议，完成互联互通</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-能根据网络拓扑，配置无线网络设备</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-能够对网络设备进行基础安全配置</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-能配置操作系统密码策略与账户策略</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-能安全配置操作系统自带的防火墙功能</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-能安装部署防病毒软件</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-能启用系统审核功能</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-能根据业务需求，配置常见应用服务</w:t>
            </w:r>
          </w:p>
          <w:p>
            <w:pPr>
              <w:snapToGrid w:val="0"/>
              <w:rPr>
                <w:rFonts w:ascii="仿宋" w:hAnsi="仿宋" w:eastAsia="仿宋" w:cs="仿宋"/>
                <w:bCs/>
                <w:color w:val="FF0000"/>
                <w:sz w:val="28"/>
                <w:szCs w:val="28"/>
              </w:rPr>
            </w:pPr>
            <w:r>
              <w:rPr>
                <w:rFonts w:hint="eastAsia" w:ascii="仿宋" w:hAnsi="仿宋" w:eastAsia="仿宋" w:cs="仿宋"/>
                <w:sz w:val="24"/>
              </w:rPr>
              <w:t>-能为常见应用场景启用基本防护</w:t>
            </w:r>
          </w:p>
        </w:tc>
        <w:tc>
          <w:tcPr>
            <w:tcW w:w="783" w:type="dxa"/>
            <w:tcBorders>
              <w:top w:val="single" w:color="auto" w:sz="4" w:space="0"/>
              <w:left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ascii="仿宋" w:hAnsi="仿宋" w:eastAsia="仿宋" w:cs="仿宋"/>
                <w:bCs/>
                <w:sz w:val="28"/>
                <w:szCs w:val="28"/>
              </w:rPr>
              <w:t>40</w:t>
            </w:r>
            <w:r>
              <w:rPr>
                <w:rFonts w:hint="eastAsia" w:ascii="仿宋" w:hAnsi="仿宋" w:eastAsia="仿宋" w:cs="仿宋"/>
                <w:bCs/>
                <w:sz w:val="28"/>
                <w:szCs w:val="28"/>
              </w:rPr>
              <w:t>%</w:t>
            </w:r>
          </w:p>
        </w:tc>
        <w:tc>
          <w:tcPr>
            <w:tcW w:w="1349" w:type="dxa"/>
            <w:tcBorders>
              <w:top w:val="single" w:color="auto" w:sz="4" w:space="0"/>
              <w:left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hint="eastAsia" w:ascii="仿宋" w:hAnsi="仿宋" w:eastAsia="仿宋" w:cs="仿宋"/>
                <w:bCs/>
                <w:sz w:val="28"/>
                <w:szCs w:val="28"/>
              </w:rPr>
              <w:t>上机操作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3" w:hRule="atLeast"/>
          <w:jc w:val="center"/>
        </w:trPr>
        <w:tc>
          <w:tcPr>
            <w:tcW w:w="444"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kern w:val="0"/>
                <w:sz w:val="28"/>
                <w:szCs w:val="28"/>
              </w:rPr>
            </w:pPr>
            <w:r>
              <w:rPr>
                <w:rFonts w:ascii="仿宋" w:hAnsi="仿宋" w:eastAsia="仿宋" w:cs="仿宋"/>
                <w:kern w:val="0"/>
                <w:sz w:val="28"/>
                <w:szCs w:val="28"/>
              </w:rPr>
              <w:t>2</w:t>
            </w:r>
          </w:p>
        </w:tc>
        <w:tc>
          <w:tcPr>
            <w:tcW w:w="1658"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kern w:val="0"/>
                <w:sz w:val="28"/>
                <w:szCs w:val="28"/>
              </w:rPr>
            </w:pPr>
            <w:r>
              <w:rPr>
                <w:rFonts w:hint="eastAsia" w:ascii="仿宋" w:hAnsi="仿宋" w:eastAsia="仿宋" w:cs="仿宋"/>
                <w:sz w:val="28"/>
                <w:szCs w:val="28"/>
              </w:rPr>
              <w:t>网络与信息安全管理</w:t>
            </w:r>
          </w:p>
        </w:tc>
        <w:tc>
          <w:tcPr>
            <w:tcW w:w="5718" w:type="dxa"/>
            <w:tcBorders>
              <w:top w:val="single" w:color="auto" w:sz="4" w:space="0"/>
              <w:left w:val="single" w:color="auto" w:sz="4" w:space="0"/>
              <w:bottom w:val="single" w:color="auto" w:sz="4" w:space="0"/>
              <w:right w:val="single" w:color="auto" w:sz="4" w:space="0"/>
            </w:tcBorders>
            <w:noWrap/>
            <w:vAlign w:val="center"/>
          </w:tcPr>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-能根据网络需求，划分交换机 VLAN</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-能配置交换机、路由器等网络设备的远程管理方式</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-能够管理交换机、路由器的用户安全级别</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-能根据组织业务需求，管理用户与组</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-能管理文件及文件夹的访问权限</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-能对操作系统进行定期升级更新系统补丁</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-能对防病毒软件进行定期升级</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-能对组织应用的域名进行正确备案</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-能管理常见应用服务的域名解析</w:t>
            </w:r>
          </w:p>
          <w:p>
            <w:pPr>
              <w:snapToGrid w:val="0"/>
              <w:rPr>
                <w:rFonts w:ascii="仿宋" w:hAnsi="仿宋" w:eastAsia="仿宋" w:cs="仿宋"/>
                <w:bCs/>
                <w:color w:val="FF0000"/>
                <w:sz w:val="28"/>
                <w:szCs w:val="28"/>
              </w:rPr>
            </w:pPr>
            <w:r>
              <w:rPr>
                <w:rFonts w:hint="eastAsia" w:ascii="仿宋" w:hAnsi="仿宋" w:eastAsia="仿宋" w:cs="仿宋"/>
                <w:sz w:val="24"/>
              </w:rPr>
              <w:t>-能对应用数据进行安全备份</w:t>
            </w:r>
          </w:p>
        </w:tc>
        <w:tc>
          <w:tcPr>
            <w:tcW w:w="783"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ascii="仿宋" w:hAnsi="仿宋" w:eastAsia="仿宋" w:cs="仿宋"/>
                <w:bCs/>
                <w:sz w:val="28"/>
                <w:szCs w:val="28"/>
              </w:rPr>
              <w:t>30</w:t>
            </w:r>
            <w:r>
              <w:rPr>
                <w:rFonts w:hint="eastAsia" w:ascii="仿宋" w:hAnsi="仿宋" w:eastAsia="仿宋" w:cs="仿宋"/>
                <w:bCs/>
                <w:sz w:val="28"/>
                <w:szCs w:val="28"/>
              </w:rPr>
              <w:t>%</w:t>
            </w:r>
          </w:p>
        </w:tc>
        <w:tc>
          <w:tcPr>
            <w:tcW w:w="1349"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hint="eastAsia" w:ascii="仿宋" w:hAnsi="仿宋" w:eastAsia="仿宋" w:cs="仿宋"/>
                <w:bCs/>
                <w:sz w:val="28"/>
                <w:szCs w:val="28"/>
              </w:rPr>
              <w:t>上机操作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1" w:hRule="atLeast"/>
          <w:jc w:val="center"/>
        </w:trPr>
        <w:tc>
          <w:tcPr>
            <w:tcW w:w="444"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hint="eastAsia" w:ascii="仿宋" w:hAnsi="仿宋" w:eastAsia="仿宋" w:cs="仿宋"/>
                <w:bCs/>
                <w:sz w:val="28"/>
                <w:szCs w:val="28"/>
              </w:rPr>
              <w:t>3</w:t>
            </w:r>
          </w:p>
        </w:tc>
        <w:tc>
          <w:tcPr>
            <w:tcW w:w="1658"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hint="eastAsia" w:ascii="仿宋" w:hAnsi="仿宋" w:eastAsia="仿宋" w:cs="仿宋"/>
                <w:kern w:val="0"/>
                <w:sz w:val="28"/>
                <w:szCs w:val="28"/>
              </w:rPr>
              <w:t>网络与信息安全处置</w:t>
            </w:r>
          </w:p>
        </w:tc>
        <w:tc>
          <w:tcPr>
            <w:tcW w:w="5718" w:type="dxa"/>
            <w:tcBorders>
              <w:top w:val="single" w:color="auto" w:sz="4" w:space="0"/>
              <w:left w:val="single" w:color="auto" w:sz="4" w:space="0"/>
              <w:bottom w:val="single" w:color="auto" w:sz="4" w:space="0"/>
              <w:right w:val="single" w:color="auto" w:sz="4" w:space="0"/>
            </w:tcBorders>
            <w:noWrap/>
            <w:vAlign w:val="center"/>
          </w:tcPr>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-能使用网络诊断工具识别并处理常见网络故障</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-能识别常见网络层攻击</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-能识别常见系统安全事件</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-能使用防病毒工具清除恶意代码</w:t>
            </w:r>
          </w:p>
          <w:p>
            <w:pPr>
              <w:pStyle w:val="20"/>
              <w:numPr>
                <w:ilvl w:val="0"/>
                <w:numId w:val="0"/>
              </w:numPr>
              <w:snapToGrid w:val="0"/>
              <w:spacing w:after="0"/>
              <w:jc w:val="left"/>
              <w:rPr>
                <w:rFonts w:ascii="仿宋" w:hAnsi="仿宋" w:eastAsia="仿宋" w:cs="仿宋"/>
                <w:kern w:val="2"/>
                <w:sz w:val="24"/>
                <w:szCs w:val="24"/>
                <w:lang w:val="en-US" w:eastAsia="zh-CN"/>
              </w:rPr>
            </w:pPr>
            <w:r>
              <w:rPr>
                <w:rFonts w:hint="eastAsia" w:ascii="仿宋" w:hAnsi="仿宋" w:eastAsia="仿宋" w:cs="仿宋"/>
                <w:kern w:val="2"/>
                <w:sz w:val="24"/>
                <w:szCs w:val="24"/>
                <w:lang w:val="en-US" w:eastAsia="zh-CN"/>
              </w:rPr>
              <w:t>-能利用备份工具恢复应用数据</w:t>
            </w:r>
          </w:p>
          <w:p>
            <w:pPr>
              <w:pStyle w:val="20"/>
              <w:numPr>
                <w:ilvl w:val="0"/>
                <w:numId w:val="0"/>
              </w:numPr>
              <w:snapToGrid w:val="0"/>
              <w:spacing w:after="0"/>
              <w:jc w:val="left"/>
              <w:rPr>
                <w:rFonts w:ascii="仿宋" w:hAnsi="仿宋" w:eastAsia="仿宋" w:cs="仿宋"/>
                <w:bCs/>
                <w:color w:val="FF0000"/>
                <w:sz w:val="28"/>
                <w:szCs w:val="28"/>
                <w:lang w:eastAsia="zh-CN"/>
              </w:rPr>
            </w:pPr>
            <w:r>
              <w:rPr>
                <w:rFonts w:hint="eastAsia" w:ascii="仿宋" w:hAnsi="仿宋" w:eastAsia="仿宋" w:cs="仿宋"/>
                <w:kern w:val="2"/>
                <w:sz w:val="24"/>
                <w:szCs w:val="24"/>
                <w:lang w:val="en-US" w:eastAsia="zh-CN"/>
              </w:rPr>
              <w:t>-能使用相关工具实现对恶意代码的检测和报警</w:t>
            </w:r>
          </w:p>
        </w:tc>
        <w:tc>
          <w:tcPr>
            <w:tcW w:w="783"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hint="eastAsia" w:ascii="仿宋" w:hAnsi="仿宋" w:eastAsia="仿宋" w:cs="仿宋"/>
                <w:bCs/>
                <w:sz w:val="28"/>
                <w:szCs w:val="28"/>
              </w:rPr>
              <w:t>30%</w:t>
            </w:r>
          </w:p>
        </w:tc>
        <w:tc>
          <w:tcPr>
            <w:tcW w:w="1349"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ascii="仿宋" w:hAnsi="仿宋" w:eastAsia="仿宋" w:cs="仿宋"/>
                <w:bCs/>
                <w:sz w:val="28"/>
                <w:szCs w:val="28"/>
              </w:rPr>
            </w:pPr>
            <w:r>
              <w:rPr>
                <w:rFonts w:hint="eastAsia" w:ascii="仿宋" w:hAnsi="仿宋" w:eastAsia="仿宋" w:cs="仿宋"/>
                <w:bCs/>
                <w:sz w:val="28"/>
                <w:szCs w:val="28"/>
              </w:rPr>
              <w:t>上机操作</w:t>
            </w:r>
          </w:p>
        </w:tc>
      </w:tr>
    </w:tbl>
    <w:p>
      <w:pPr>
        <w:pStyle w:val="22"/>
        <w:widowControl w:val="0"/>
        <w:spacing w:line="360" w:lineRule="auto"/>
        <w:ind w:firstLine="640"/>
        <w:jc w:val="both"/>
        <w:rPr>
          <w:rFonts w:ascii="仿宋" w:hAnsi="仿宋" w:eastAsia="仿宋" w:cs="仿宋"/>
          <w:bCs/>
          <w:color w:val="auto"/>
          <w:kern w:val="2"/>
          <w:sz w:val="32"/>
          <w:szCs w:val="32"/>
        </w:rPr>
      </w:pPr>
      <w:r>
        <w:rPr>
          <w:rFonts w:hint="eastAsia" w:ascii="仿宋" w:hAnsi="仿宋" w:eastAsia="仿宋" w:cs="仿宋"/>
          <w:bCs/>
          <w:color w:val="auto"/>
          <w:kern w:val="2"/>
          <w:sz w:val="32"/>
          <w:szCs w:val="32"/>
        </w:rPr>
        <w:t>3、竞赛方式</w:t>
      </w:r>
    </w:p>
    <w:p>
      <w:pPr>
        <w:pStyle w:val="22"/>
        <w:widowControl w:val="0"/>
        <w:spacing w:line="360" w:lineRule="auto"/>
        <w:ind w:firstLine="640"/>
        <w:jc w:val="both"/>
        <w:rPr>
          <w:rFonts w:ascii="仿宋" w:hAnsi="仿宋" w:eastAsia="仿宋" w:cs="仿宋"/>
          <w:bCs/>
          <w:color w:val="auto"/>
          <w:kern w:val="2"/>
          <w:sz w:val="32"/>
          <w:szCs w:val="32"/>
        </w:rPr>
      </w:pPr>
      <w:r>
        <w:rPr>
          <w:rFonts w:hint="eastAsia" w:ascii="仿宋" w:hAnsi="仿宋" w:eastAsia="仿宋" w:cs="仿宋"/>
          <w:bCs/>
          <w:color w:val="auto"/>
          <w:kern w:val="2"/>
          <w:sz w:val="32"/>
          <w:szCs w:val="32"/>
        </w:rPr>
        <w:t>竞赛当天，参赛选手登录相应平台完成理论题。技能题登录相应平台完成各个模块的内容。</w:t>
      </w:r>
    </w:p>
    <w:p>
      <w:pPr>
        <w:pStyle w:val="22"/>
        <w:widowControl w:val="0"/>
        <w:spacing w:line="360" w:lineRule="auto"/>
        <w:ind w:firstLine="640"/>
        <w:jc w:val="both"/>
        <w:rPr>
          <w:rFonts w:ascii="仿宋" w:hAnsi="仿宋" w:eastAsia="仿宋" w:cs="仿宋"/>
          <w:bCs/>
          <w:color w:val="auto"/>
          <w:kern w:val="2"/>
          <w:sz w:val="32"/>
          <w:szCs w:val="32"/>
        </w:rPr>
      </w:pPr>
      <w:r>
        <w:rPr>
          <w:rFonts w:hint="eastAsia" w:ascii="仿宋" w:hAnsi="仿宋" w:eastAsia="仿宋" w:cs="仿宋"/>
          <w:bCs/>
          <w:color w:val="auto"/>
          <w:kern w:val="2"/>
          <w:sz w:val="32"/>
          <w:szCs w:val="32"/>
        </w:rPr>
        <w:t>4、评分细则</w:t>
      </w:r>
    </w:p>
    <w:p>
      <w:pPr>
        <w:pStyle w:val="22"/>
        <w:widowControl w:val="0"/>
        <w:spacing w:line="360" w:lineRule="auto"/>
        <w:ind w:firstLine="640"/>
        <w:jc w:val="both"/>
        <w:rPr>
          <w:rFonts w:ascii="仿宋" w:hAnsi="仿宋" w:eastAsia="仿宋" w:cs="仿宋"/>
          <w:bCs/>
          <w:color w:val="auto"/>
          <w:kern w:val="2"/>
          <w:sz w:val="32"/>
          <w:szCs w:val="32"/>
        </w:rPr>
      </w:pPr>
      <w:r>
        <w:rPr>
          <w:rFonts w:hint="eastAsia" w:ascii="仿宋" w:hAnsi="仿宋" w:eastAsia="仿宋" w:cs="仿宋"/>
          <w:bCs/>
          <w:color w:val="auto"/>
          <w:kern w:val="2"/>
          <w:sz w:val="32"/>
          <w:szCs w:val="32"/>
        </w:rPr>
        <w:t>参赛选手根据赛题要求获取FLAG值并截图，由裁判根据FLAG及截图进行评分；参赛选手的最终名次依据各项成绩按比例累加从高分到低分排定；各项成绩和总成绩均取小数点后两位。</w:t>
      </w:r>
    </w:p>
    <w:p>
      <w:pPr>
        <w:spacing w:line="360" w:lineRule="auto"/>
        <w:ind w:firstLine="642" w:firstLineChars="200"/>
        <w:outlineLvl w:val="0"/>
        <w:rPr>
          <w:rFonts w:ascii="宋体" w:hAnsi="宋体" w:cs="宋体"/>
          <w:b/>
          <w:color w:val="000000"/>
          <w:sz w:val="32"/>
          <w:szCs w:val="32"/>
        </w:rPr>
      </w:pPr>
      <w:r>
        <w:rPr>
          <w:rFonts w:hint="eastAsia" w:ascii="宋体" w:hAnsi="宋体" w:cs="宋体"/>
          <w:b/>
          <w:color w:val="000000"/>
          <w:sz w:val="32"/>
          <w:szCs w:val="32"/>
        </w:rPr>
        <w:t>四、成绩评定办法</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1、理论知识竞赛满分100分，将按</w:t>
      </w:r>
      <w:r>
        <w:rPr>
          <w:rFonts w:ascii="仿宋" w:hAnsi="仿宋" w:eastAsia="仿宋" w:cs="仿宋"/>
          <w:color w:val="000000"/>
          <w:sz w:val="32"/>
          <w:szCs w:val="32"/>
        </w:rPr>
        <w:t>2</w:t>
      </w:r>
      <w:r>
        <w:rPr>
          <w:rFonts w:hint="eastAsia" w:ascii="仿宋" w:hAnsi="仿宋" w:eastAsia="仿宋" w:cs="仿宋"/>
          <w:color w:val="000000"/>
          <w:sz w:val="32"/>
          <w:szCs w:val="32"/>
        </w:rPr>
        <w:t>0%计入总成绩。技能操作竞赛总分100分，将按80%计入总成绩，两项考试成绩经折算后相加得出竞赛总成绩。</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2、本次竞赛按照竞赛个人总成绩决定竞赛名次。总成绩相同者，以技能操作竞赛成绩高者为先。若技能操作成绩仍相同，以技能操作中网络与信息安全防护模块得分高者为先。</w:t>
      </w:r>
    </w:p>
    <w:p>
      <w:pPr>
        <w:spacing w:line="360" w:lineRule="auto"/>
        <w:rPr>
          <w:rFonts w:ascii="宋体" w:hAnsi="宋体" w:eastAsia="宋体" w:cs="宋体"/>
          <w:b/>
          <w:color w:val="000000"/>
          <w:sz w:val="32"/>
          <w:szCs w:val="32"/>
        </w:rPr>
      </w:pPr>
      <w:r>
        <w:rPr>
          <w:rFonts w:hint="eastAsia" w:ascii="宋体" w:hAnsi="宋体" w:eastAsia="宋体" w:cs="宋体"/>
          <w:b/>
          <w:color w:val="000000"/>
          <w:sz w:val="32"/>
          <w:szCs w:val="32"/>
        </w:rPr>
        <w:t xml:space="preserve">    五、竞赛场地、设施设备等安排</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（一）赛场规格要求</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1、竞赛在标准机房教室进行，考场按照单人单座单列的要求摆放和编号。要求赛场的采光、通风良好、整洁卫生、机房设备不能接入互联网、机房各项设备稳定运行。</w:t>
      </w:r>
    </w:p>
    <w:p>
      <w:pPr>
        <w:spacing w:line="360" w:lineRule="auto"/>
        <w:ind w:firstLine="640" w:firstLineChars="200"/>
        <w:rPr>
          <w:rFonts w:ascii="仿宋" w:hAnsi="仿宋" w:eastAsia="仿宋" w:cs="仿宋"/>
          <w:bCs/>
          <w:color w:val="C00000"/>
          <w:sz w:val="32"/>
          <w:szCs w:val="32"/>
        </w:rPr>
      </w:pPr>
      <w:r>
        <w:rPr>
          <w:rFonts w:ascii="仿宋" w:hAnsi="仿宋" w:eastAsia="仿宋" w:cs="仿宋"/>
          <w:color w:val="000000"/>
          <w:sz w:val="32"/>
          <w:szCs w:val="32"/>
        </w:rPr>
        <w:t>2</w:t>
      </w:r>
      <w:r>
        <w:rPr>
          <w:rFonts w:hint="eastAsia" w:ascii="仿宋" w:hAnsi="仿宋" w:eastAsia="仿宋" w:cs="仿宋"/>
          <w:color w:val="000000"/>
          <w:sz w:val="32"/>
          <w:szCs w:val="32"/>
        </w:rPr>
        <w:t>、赛场入口处应有醒目的赛场编号、专业标志和座位的起止序号、考生守则、赛场纪律、考试时间及赛场说明。</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（二）基础设施清单</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1、赛场设置：</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（1）等候区</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（2）技能竞赛区</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①准备室：配备技术操作相关用物。</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②技能竞赛试场：操作场地宽敞、明亮；配备比赛对应所需物品、工具等。</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③工作区：包括检录室、裁判室、加密室、读题备物室、竞赛室、核分室、选手休息室。</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④赛后参赛选手与未考核参赛选手进出赛场的路径分别隔离，不相互交叉。 </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2、竞赛设备</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赛场提供设施、设备清单如下：</w:t>
      </w:r>
    </w:p>
    <w:tbl>
      <w:tblPr>
        <w:tblStyle w:val="11"/>
        <w:tblW w:w="8679"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57" w:type="dxa"/>
          <w:left w:w="142" w:type="dxa"/>
          <w:bottom w:w="57" w:type="dxa"/>
          <w:right w:w="142" w:type="dxa"/>
        </w:tblCellMar>
      </w:tblPr>
      <w:tblGrid>
        <w:gridCol w:w="870"/>
        <w:gridCol w:w="1337"/>
        <w:gridCol w:w="912"/>
        <w:gridCol w:w="556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blHeader/>
        </w:trPr>
        <w:tc>
          <w:tcPr>
            <w:tcW w:w="870" w:type="dxa"/>
            <w:vAlign w:val="center"/>
          </w:tcPr>
          <w:p>
            <w:pPr>
              <w:jc w:val="center"/>
              <w:rPr>
                <w:rFonts w:ascii="仿宋" w:hAnsi="仿宋" w:eastAsia="仿宋"/>
                <w:b/>
                <w:bCs/>
                <w:sz w:val="28"/>
                <w:szCs w:val="28"/>
              </w:rPr>
            </w:pPr>
            <w:r>
              <w:rPr>
                <w:rFonts w:ascii="仿宋" w:hAnsi="仿宋" w:eastAsia="仿宋"/>
                <w:b/>
                <w:bCs/>
                <w:sz w:val="28"/>
                <w:szCs w:val="28"/>
              </w:rPr>
              <w:t>序号</w:t>
            </w:r>
          </w:p>
        </w:tc>
        <w:tc>
          <w:tcPr>
            <w:tcW w:w="1337" w:type="dxa"/>
            <w:vAlign w:val="center"/>
          </w:tcPr>
          <w:p>
            <w:pPr>
              <w:jc w:val="center"/>
              <w:rPr>
                <w:rFonts w:ascii="仿宋" w:hAnsi="仿宋" w:eastAsia="仿宋"/>
                <w:b/>
                <w:bCs/>
                <w:sz w:val="28"/>
                <w:szCs w:val="28"/>
              </w:rPr>
            </w:pPr>
            <w:r>
              <w:rPr>
                <w:rFonts w:ascii="仿宋" w:hAnsi="仿宋" w:eastAsia="仿宋"/>
                <w:b/>
                <w:bCs/>
                <w:sz w:val="28"/>
                <w:szCs w:val="28"/>
              </w:rPr>
              <w:t>名称</w:t>
            </w:r>
          </w:p>
        </w:tc>
        <w:tc>
          <w:tcPr>
            <w:tcW w:w="912" w:type="dxa"/>
            <w:vAlign w:val="center"/>
          </w:tcPr>
          <w:p>
            <w:pPr>
              <w:jc w:val="center"/>
              <w:rPr>
                <w:rFonts w:ascii="仿宋" w:hAnsi="仿宋" w:eastAsia="仿宋"/>
                <w:b/>
                <w:bCs/>
                <w:sz w:val="28"/>
                <w:szCs w:val="28"/>
              </w:rPr>
            </w:pPr>
            <w:r>
              <w:rPr>
                <w:rFonts w:ascii="仿宋" w:hAnsi="仿宋" w:eastAsia="仿宋"/>
                <w:b/>
                <w:bCs/>
                <w:sz w:val="28"/>
                <w:szCs w:val="28"/>
              </w:rPr>
              <w:t>数量</w:t>
            </w:r>
          </w:p>
        </w:tc>
        <w:tc>
          <w:tcPr>
            <w:tcW w:w="5560" w:type="dxa"/>
            <w:vAlign w:val="center"/>
          </w:tcPr>
          <w:p>
            <w:pPr>
              <w:jc w:val="center"/>
              <w:rPr>
                <w:rFonts w:ascii="仿宋" w:hAnsi="仿宋" w:eastAsia="仿宋"/>
                <w:b/>
                <w:bCs/>
                <w:sz w:val="28"/>
                <w:szCs w:val="28"/>
              </w:rPr>
            </w:pPr>
            <w:r>
              <w:rPr>
                <w:rFonts w:ascii="仿宋" w:hAnsi="仿宋" w:eastAsia="仿宋"/>
                <w:b/>
                <w:bCs/>
                <w:sz w:val="28"/>
                <w:szCs w:val="28"/>
              </w:rPr>
              <w:t>技术规格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81" w:hRule="atLeast"/>
        </w:trPr>
        <w:tc>
          <w:tcPr>
            <w:tcW w:w="870" w:type="dxa"/>
            <w:vAlign w:val="center"/>
          </w:tcPr>
          <w:p>
            <w:pPr>
              <w:jc w:val="center"/>
              <w:rPr>
                <w:rFonts w:ascii="仿宋" w:hAnsi="仿宋" w:eastAsia="仿宋"/>
                <w:sz w:val="28"/>
                <w:szCs w:val="28"/>
              </w:rPr>
            </w:pPr>
            <w:r>
              <w:rPr>
                <w:rFonts w:ascii="仿宋" w:hAnsi="仿宋" w:eastAsia="仿宋"/>
                <w:sz w:val="28"/>
                <w:szCs w:val="28"/>
              </w:rPr>
              <w:t>1</w:t>
            </w:r>
          </w:p>
        </w:tc>
        <w:tc>
          <w:tcPr>
            <w:tcW w:w="1337" w:type="dxa"/>
            <w:vAlign w:val="center"/>
          </w:tcPr>
          <w:p>
            <w:pPr>
              <w:jc w:val="center"/>
              <w:rPr>
                <w:rFonts w:ascii="仿宋" w:hAnsi="仿宋" w:eastAsia="仿宋"/>
                <w:sz w:val="28"/>
                <w:szCs w:val="28"/>
              </w:rPr>
            </w:pPr>
            <w:r>
              <w:rPr>
                <w:rFonts w:hint="eastAsia" w:ascii="仿宋" w:hAnsi="仿宋" w:eastAsia="仿宋"/>
                <w:sz w:val="28"/>
                <w:szCs w:val="28"/>
              </w:rPr>
              <w:t>竞赛服务器</w:t>
            </w:r>
          </w:p>
        </w:tc>
        <w:tc>
          <w:tcPr>
            <w:tcW w:w="912" w:type="dxa"/>
            <w:vAlign w:val="center"/>
          </w:tcPr>
          <w:p>
            <w:pPr>
              <w:jc w:val="center"/>
              <w:rPr>
                <w:rFonts w:ascii="仿宋" w:hAnsi="仿宋" w:eastAsia="仿宋"/>
                <w:sz w:val="28"/>
                <w:szCs w:val="28"/>
              </w:rPr>
            </w:pPr>
            <w:r>
              <w:rPr>
                <w:rFonts w:hint="eastAsia" w:ascii="仿宋" w:hAnsi="仿宋" w:eastAsia="仿宋"/>
                <w:sz w:val="28"/>
                <w:szCs w:val="28"/>
              </w:rPr>
              <w:t>1</w:t>
            </w:r>
          </w:p>
        </w:tc>
        <w:tc>
          <w:tcPr>
            <w:tcW w:w="5560" w:type="dxa"/>
            <w:vAlign w:val="center"/>
          </w:tcPr>
          <w:p>
            <w:pPr>
              <w:jc w:val="left"/>
              <w:rPr>
                <w:rFonts w:ascii="仿宋" w:hAnsi="仿宋" w:eastAsia="仿宋"/>
                <w:sz w:val="28"/>
                <w:szCs w:val="28"/>
              </w:rPr>
            </w:pPr>
            <w:r>
              <w:rPr>
                <w:rFonts w:hint="eastAsia" w:ascii="仿宋" w:hAnsi="仿宋" w:eastAsia="仿宋"/>
                <w:sz w:val="28"/>
                <w:szCs w:val="28"/>
              </w:rPr>
              <w:t>配置要求：英特尔至强系列CPU；32GB以上内存；500G以上硬盘；千兆网卡；支持硬件虚拟化。预装：windows系列操作系统、VMware Workstation 17以上。和参赛选手在同一局域网中。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10" w:hRule="atLeast"/>
        </w:trPr>
        <w:tc>
          <w:tcPr>
            <w:tcW w:w="870" w:type="dxa"/>
            <w:vAlign w:val="center"/>
          </w:tcPr>
          <w:p>
            <w:pPr>
              <w:jc w:val="center"/>
              <w:rPr>
                <w:rFonts w:ascii="仿宋" w:hAnsi="仿宋" w:eastAsia="仿宋"/>
                <w:sz w:val="28"/>
                <w:szCs w:val="28"/>
              </w:rPr>
            </w:pPr>
            <w:r>
              <w:rPr>
                <w:rFonts w:ascii="仿宋" w:hAnsi="仿宋" w:eastAsia="仿宋"/>
                <w:sz w:val="28"/>
                <w:szCs w:val="28"/>
              </w:rPr>
              <w:t>2</w:t>
            </w:r>
          </w:p>
        </w:tc>
        <w:tc>
          <w:tcPr>
            <w:tcW w:w="1337" w:type="dxa"/>
            <w:vAlign w:val="center"/>
          </w:tcPr>
          <w:p>
            <w:pPr>
              <w:jc w:val="center"/>
              <w:rPr>
                <w:rFonts w:ascii="仿宋" w:hAnsi="仿宋" w:eastAsia="仿宋"/>
                <w:sz w:val="28"/>
                <w:szCs w:val="28"/>
              </w:rPr>
            </w:pPr>
            <w:r>
              <w:rPr>
                <w:rFonts w:hint="eastAsia" w:ascii="仿宋" w:hAnsi="仿宋" w:eastAsia="仿宋"/>
                <w:sz w:val="28"/>
                <w:szCs w:val="28"/>
              </w:rPr>
              <w:t>参赛选手计算机</w:t>
            </w:r>
          </w:p>
        </w:tc>
        <w:tc>
          <w:tcPr>
            <w:tcW w:w="912" w:type="dxa"/>
            <w:vAlign w:val="center"/>
          </w:tcPr>
          <w:p>
            <w:pPr>
              <w:jc w:val="center"/>
              <w:rPr>
                <w:rFonts w:ascii="仿宋" w:hAnsi="仿宋" w:eastAsia="仿宋"/>
                <w:sz w:val="28"/>
                <w:szCs w:val="28"/>
              </w:rPr>
            </w:pPr>
            <w:r>
              <w:rPr>
                <w:rFonts w:ascii="仿宋" w:hAnsi="仿宋" w:eastAsia="仿宋"/>
                <w:sz w:val="28"/>
                <w:szCs w:val="28"/>
              </w:rPr>
              <w:t>50</w:t>
            </w:r>
          </w:p>
        </w:tc>
        <w:tc>
          <w:tcPr>
            <w:tcW w:w="5560" w:type="dxa"/>
            <w:vAlign w:val="center"/>
          </w:tcPr>
          <w:p>
            <w:pPr>
              <w:jc w:val="left"/>
              <w:rPr>
                <w:rFonts w:hint="eastAsia" w:ascii="仿宋" w:hAnsi="仿宋" w:eastAsia="仿宋"/>
                <w:sz w:val="28"/>
                <w:szCs w:val="28"/>
              </w:rPr>
            </w:pPr>
            <w:r>
              <w:rPr>
                <w:rFonts w:hint="eastAsia" w:ascii="仿宋" w:hAnsi="仿宋" w:eastAsia="仿宋"/>
                <w:sz w:val="28"/>
                <w:szCs w:val="28"/>
              </w:rPr>
              <w:t>配置要求：CPU主频≥2.8GHZ,≥四核四线程；内存≥8G；物理硬盘≥240G；支持硬件虚拟化；预装：</w:t>
            </w:r>
          </w:p>
          <w:p>
            <w:pPr>
              <w:jc w:val="left"/>
              <w:rPr>
                <w:rFonts w:hint="eastAsia" w:ascii="仿宋" w:hAnsi="仿宋" w:eastAsia="仿宋"/>
                <w:sz w:val="28"/>
                <w:szCs w:val="28"/>
              </w:rPr>
            </w:pPr>
            <w:r>
              <w:rPr>
                <w:rFonts w:hint="eastAsia" w:ascii="仿宋" w:hAnsi="仿宋" w:eastAsia="仿宋"/>
                <w:sz w:val="28"/>
                <w:szCs w:val="28"/>
              </w:rPr>
              <w:t>win10 64位操作系统。</w:t>
            </w:r>
          </w:p>
          <w:p>
            <w:pPr>
              <w:jc w:val="left"/>
              <w:rPr>
                <w:rFonts w:ascii="仿宋" w:hAnsi="仿宋" w:eastAsia="仿宋"/>
                <w:sz w:val="28"/>
                <w:szCs w:val="28"/>
              </w:rPr>
            </w:pPr>
            <w:r>
              <w:rPr>
                <w:rFonts w:ascii="仿宋" w:hAnsi="仿宋" w:eastAsia="仿宋"/>
                <w:sz w:val="28"/>
                <w:szCs w:val="28"/>
              </w:rPr>
              <w:t>Office/WPS</w:t>
            </w:r>
          </w:p>
          <w:p>
            <w:pPr>
              <w:jc w:val="left"/>
              <w:rPr>
                <w:rFonts w:hint="eastAsia" w:ascii="仿宋" w:hAnsi="仿宋" w:eastAsia="仿宋"/>
                <w:sz w:val="28"/>
                <w:szCs w:val="28"/>
              </w:rPr>
            </w:pPr>
            <w:r>
              <w:rPr>
                <w:rFonts w:hint="eastAsia" w:ascii="仿宋" w:hAnsi="仿宋" w:eastAsia="仿宋"/>
                <w:sz w:val="28"/>
                <w:szCs w:val="28"/>
              </w:rPr>
              <w:t>Chrome 浏览器 v96以上版本</w:t>
            </w:r>
          </w:p>
          <w:p>
            <w:pPr>
              <w:jc w:val="left"/>
              <w:rPr>
                <w:rFonts w:hint="eastAsia" w:ascii="仿宋" w:hAnsi="仿宋" w:eastAsia="仿宋"/>
                <w:sz w:val="28"/>
                <w:szCs w:val="28"/>
              </w:rPr>
            </w:pPr>
            <w:r>
              <w:rPr>
                <w:rFonts w:hint="eastAsia" w:ascii="仿宋" w:hAnsi="仿宋" w:eastAsia="仿宋"/>
                <w:sz w:val="28"/>
                <w:szCs w:val="28"/>
              </w:rPr>
              <w:t>WireShark v3.0以上</w:t>
            </w:r>
          </w:p>
          <w:p>
            <w:pPr>
              <w:jc w:val="left"/>
              <w:rPr>
                <w:rFonts w:hint="eastAsia" w:ascii="仿宋" w:hAnsi="仿宋" w:eastAsia="仿宋"/>
                <w:sz w:val="28"/>
                <w:szCs w:val="28"/>
              </w:rPr>
            </w:pPr>
            <w:r>
              <w:rPr>
                <w:rFonts w:hint="eastAsia" w:ascii="仿宋" w:hAnsi="仿宋" w:eastAsia="仿宋"/>
                <w:sz w:val="28"/>
                <w:szCs w:val="28"/>
              </w:rPr>
              <w:t>MobaXterm v24以上</w:t>
            </w:r>
          </w:p>
          <w:p>
            <w:pPr>
              <w:jc w:val="left"/>
              <w:rPr>
                <w:rFonts w:hint="eastAsia" w:ascii="仿宋" w:hAnsi="仿宋" w:eastAsia="仿宋"/>
                <w:sz w:val="28"/>
                <w:szCs w:val="28"/>
              </w:rPr>
            </w:pPr>
            <w:r>
              <w:rPr>
                <w:rFonts w:hint="eastAsia" w:ascii="仿宋" w:hAnsi="仿宋" w:eastAsia="仿宋"/>
                <w:sz w:val="28"/>
                <w:szCs w:val="28"/>
              </w:rPr>
              <w:t>VMware Workstation 17以上</w:t>
            </w:r>
          </w:p>
          <w:p>
            <w:pPr>
              <w:jc w:val="left"/>
              <w:rPr>
                <w:rFonts w:hint="eastAsia" w:ascii="仿宋" w:hAnsi="仿宋" w:eastAsia="仿宋"/>
                <w:sz w:val="28"/>
                <w:szCs w:val="28"/>
              </w:rPr>
            </w:pPr>
            <w:r>
              <w:rPr>
                <w:rFonts w:hint="eastAsia" w:ascii="仿宋" w:hAnsi="仿宋" w:eastAsia="仿宋"/>
                <w:sz w:val="28"/>
                <w:szCs w:val="28"/>
              </w:rPr>
              <w:t>ENSP v1.3.00以上</w:t>
            </w:r>
          </w:p>
          <w:p>
            <w:pPr>
              <w:jc w:val="left"/>
              <w:rPr>
                <w:rFonts w:hint="eastAsia" w:ascii="仿宋" w:hAnsi="仿宋" w:eastAsia="仿宋"/>
                <w:sz w:val="28"/>
                <w:szCs w:val="28"/>
              </w:rPr>
            </w:pPr>
            <w:r>
              <w:rPr>
                <w:rFonts w:hint="eastAsia" w:ascii="仿宋" w:hAnsi="仿宋" w:eastAsia="仿宋"/>
                <w:sz w:val="28"/>
                <w:szCs w:val="28"/>
              </w:rPr>
              <w:t>Oracle VM VirtualBox 5.2.22以上</w:t>
            </w:r>
          </w:p>
          <w:p>
            <w:pPr>
              <w:jc w:val="left"/>
              <w:rPr>
                <w:rFonts w:ascii="仿宋" w:hAnsi="仿宋" w:eastAsia="仿宋"/>
                <w:sz w:val="28"/>
                <w:szCs w:val="28"/>
              </w:rPr>
            </w:pPr>
            <w:r>
              <w:rPr>
                <w:rFonts w:ascii="仿宋" w:hAnsi="仿宋" w:eastAsia="仿宋"/>
                <w:sz w:val="28"/>
                <w:szCs w:val="28"/>
              </w:rPr>
              <w:t>WinPcap 4.1.3</w:t>
            </w:r>
          </w:p>
          <w:p>
            <w:pPr>
              <w:jc w:val="left"/>
              <w:rPr>
                <w:rFonts w:hint="eastAsia" w:ascii="仿宋" w:hAnsi="仿宋" w:eastAsia="仿宋"/>
                <w:sz w:val="28"/>
                <w:szCs w:val="28"/>
              </w:rPr>
            </w:pPr>
            <w:r>
              <w:rPr>
                <w:rFonts w:hint="eastAsia" w:ascii="仿宋" w:hAnsi="仿宋" w:eastAsia="仿宋"/>
                <w:sz w:val="28"/>
                <w:szCs w:val="28"/>
              </w:rPr>
              <w:t>Kali 2024.3版本虚拟机</w:t>
            </w:r>
          </w:p>
          <w:p>
            <w:pPr>
              <w:jc w:val="left"/>
              <w:rPr>
                <w:rFonts w:hint="eastAsia" w:ascii="仿宋" w:hAnsi="仿宋" w:eastAsia="仿宋"/>
                <w:sz w:val="28"/>
                <w:szCs w:val="28"/>
              </w:rPr>
            </w:pPr>
            <w:r>
              <w:rPr>
                <w:rFonts w:hint="eastAsia" w:ascii="仿宋" w:hAnsi="仿宋" w:eastAsia="仿宋"/>
                <w:sz w:val="28"/>
                <w:szCs w:val="28"/>
              </w:rPr>
              <w:t>Rocky 9虚拟机</w:t>
            </w:r>
          </w:p>
          <w:p>
            <w:pPr>
              <w:jc w:val="left"/>
              <w:rPr>
                <w:rFonts w:hint="eastAsia" w:ascii="仿宋" w:hAnsi="仿宋" w:eastAsia="仿宋"/>
                <w:sz w:val="28"/>
                <w:szCs w:val="28"/>
              </w:rPr>
            </w:pPr>
            <w:r>
              <w:rPr>
                <w:rFonts w:hint="eastAsia" w:ascii="仿宋" w:hAnsi="仿宋" w:eastAsia="仿宋"/>
                <w:sz w:val="28"/>
                <w:szCs w:val="28"/>
              </w:rPr>
              <w:t>windows 2022虚拟机</w:t>
            </w:r>
          </w:p>
          <w:p>
            <w:pPr>
              <w:jc w:val="left"/>
              <w:rPr>
                <w:rFonts w:hint="eastAsia" w:ascii="仿宋" w:hAnsi="仿宋" w:eastAsia="仿宋"/>
                <w:sz w:val="28"/>
                <w:szCs w:val="28"/>
              </w:rPr>
            </w:pPr>
            <w:r>
              <w:rPr>
                <w:rFonts w:hint="eastAsia" w:ascii="仿宋" w:hAnsi="仿宋" w:eastAsia="仿宋"/>
                <w:sz w:val="28"/>
                <w:szCs w:val="28"/>
              </w:rPr>
              <w:t>拼音、五笔等输入法</w:t>
            </w:r>
          </w:p>
          <w:p>
            <w:pPr>
              <w:jc w:val="left"/>
            </w:pPr>
            <w:r>
              <w:rPr>
                <w:rFonts w:hint="eastAsia" w:ascii="仿宋" w:hAnsi="仿宋" w:eastAsia="仿宋"/>
                <w:sz w:val="28"/>
                <w:szCs w:val="28"/>
              </w:rPr>
              <w:t>和竞赛服务器在同一局域网中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24" w:hRule="atLeast"/>
        </w:trPr>
        <w:tc>
          <w:tcPr>
            <w:tcW w:w="870" w:type="dxa"/>
            <w:vAlign w:val="center"/>
          </w:tcPr>
          <w:p>
            <w:pPr>
              <w:jc w:val="center"/>
              <w:rPr>
                <w:rFonts w:ascii="仿宋" w:hAnsi="仿宋" w:eastAsia="仿宋"/>
                <w:sz w:val="28"/>
                <w:szCs w:val="28"/>
              </w:rPr>
            </w:pPr>
            <w:r>
              <w:rPr>
                <w:rFonts w:hint="eastAsia" w:ascii="仿宋" w:hAnsi="仿宋" w:eastAsia="仿宋"/>
                <w:sz w:val="28"/>
                <w:szCs w:val="28"/>
              </w:rPr>
              <w:t>3</w:t>
            </w:r>
          </w:p>
        </w:tc>
        <w:tc>
          <w:tcPr>
            <w:tcW w:w="1337" w:type="dxa"/>
            <w:vAlign w:val="center"/>
          </w:tcPr>
          <w:p>
            <w:pPr>
              <w:jc w:val="center"/>
              <w:rPr>
                <w:rFonts w:ascii="仿宋" w:hAnsi="仿宋" w:eastAsia="仿宋"/>
                <w:sz w:val="28"/>
                <w:szCs w:val="28"/>
              </w:rPr>
            </w:pPr>
            <w:r>
              <w:rPr>
                <w:rFonts w:hint="eastAsia" w:ascii="仿宋" w:hAnsi="仿宋" w:eastAsia="仿宋"/>
                <w:sz w:val="28"/>
                <w:szCs w:val="28"/>
              </w:rPr>
              <w:t>裁判等工作人员计算机</w:t>
            </w:r>
          </w:p>
        </w:tc>
        <w:tc>
          <w:tcPr>
            <w:tcW w:w="912" w:type="dxa"/>
            <w:vAlign w:val="center"/>
          </w:tcPr>
          <w:p>
            <w:pPr>
              <w:jc w:val="center"/>
              <w:rPr>
                <w:rFonts w:ascii="仿宋" w:hAnsi="仿宋" w:eastAsia="仿宋"/>
                <w:sz w:val="28"/>
                <w:szCs w:val="28"/>
              </w:rPr>
            </w:pPr>
            <w:r>
              <w:rPr>
                <w:rFonts w:hint="eastAsia" w:ascii="仿宋" w:hAnsi="仿宋" w:eastAsia="仿宋"/>
                <w:sz w:val="28"/>
                <w:szCs w:val="28"/>
              </w:rPr>
              <w:t>10</w:t>
            </w:r>
          </w:p>
        </w:tc>
        <w:tc>
          <w:tcPr>
            <w:tcW w:w="5560" w:type="dxa"/>
            <w:vAlign w:val="center"/>
          </w:tcPr>
          <w:p>
            <w:pPr>
              <w:jc w:val="left"/>
              <w:rPr>
                <w:rFonts w:ascii="仿宋" w:hAnsi="仿宋" w:eastAsia="仿宋"/>
                <w:sz w:val="28"/>
                <w:szCs w:val="28"/>
              </w:rPr>
            </w:pPr>
            <w:r>
              <w:rPr>
                <w:rFonts w:hint="eastAsia" w:ascii="仿宋" w:hAnsi="仿宋" w:eastAsia="仿宋"/>
                <w:sz w:val="28"/>
                <w:szCs w:val="28"/>
              </w:rPr>
              <w:t xml:space="preserve">配置要求：CPU主频≥2.8GHZ,≥四核四线程；内存≥8G；物理硬盘≥240G；支持硬件虚拟化。预装Windows10以上操作系统；预装火狐或谷歌浏览器；预装中文输入法；预装office办公软件。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24" w:hRule="atLeast"/>
        </w:trPr>
        <w:tc>
          <w:tcPr>
            <w:tcW w:w="870" w:type="dxa"/>
            <w:vAlign w:val="center"/>
          </w:tcPr>
          <w:p>
            <w:pPr>
              <w:jc w:val="center"/>
              <w:rPr>
                <w:rFonts w:ascii="仿宋" w:hAnsi="仿宋" w:eastAsia="仿宋"/>
                <w:sz w:val="28"/>
                <w:szCs w:val="28"/>
              </w:rPr>
            </w:pPr>
            <w:r>
              <w:rPr>
                <w:rFonts w:hint="eastAsia" w:ascii="仿宋" w:hAnsi="仿宋" w:eastAsia="仿宋"/>
                <w:sz w:val="28"/>
                <w:szCs w:val="28"/>
              </w:rPr>
              <w:t>4</w:t>
            </w:r>
          </w:p>
        </w:tc>
        <w:tc>
          <w:tcPr>
            <w:tcW w:w="1337" w:type="dxa"/>
            <w:vAlign w:val="center"/>
          </w:tcPr>
          <w:p>
            <w:pPr>
              <w:jc w:val="center"/>
              <w:rPr>
                <w:rFonts w:ascii="仿宋" w:hAnsi="仿宋" w:eastAsia="仿宋"/>
                <w:sz w:val="28"/>
                <w:szCs w:val="28"/>
              </w:rPr>
            </w:pPr>
            <w:r>
              <w:rPr>
                <w:rFonts w:hint="eastAsia" w:ascii="仿宋" w:hAnsi="仿宋" w:eastAsia="仿宋"/>
                <w:sz w:val="28"/>
                <w:szCs w:val="28"/>
              </w:rPr>
              <w:t>网络连接设备</w:t>
            </w:r>
          </w:p>
        </w:tc>
        <w:tc>
          <w:tcPr>
            <w:tcW w:w="912" w:type="dxa"/>
            <w:vAlign w:val="center"/>
          </w:tcPr>
          <w:p>
            <w:pPr>
              <w:jc w:val="center"/>
              <w:rPr>
                <w:rFonts w:ascii="仿宋" w:hAnsi="仿宋" w:eastAsia="仿宋"/>
                <w:sz w:val="28"/>
                <w:szCs w:val="28"/>
              </w:rPr>
            </w:pPr>
            <w:r>
              <w:rPr>
                <w:rFonts w:hint="eastAsia" w:ascii="仿宋" w:hAnsi="仿宋" w:eastAsia="仿宋"/>
                <w:sz w:val="28"/>
                <w:szCs w:val="28"/>
              </w:rPr>
              <w:t>足量</w:t>
            </w:r>
          </w:p>
        </w:tc>
        <w:tc>
          <w:tcPr>
            <w:tcW w:w="5560" w:type="dxa"/>
            <w:vAlign w:val="center"/>
          </w:tcPr>
          <w:p>
            <w:pPr>
              <w:jc w:val="left"/>
              <w:rPr>
                <w:rFonts w:ascii="仿宋" w:hAnsi="仿宋" w:eastAsia="仿宋"/>
                <w:sz w:val="28"/>
                <w:szCs w:val="28"/>
              </w:rPr>
            </w:pPr>
            <w:r>
              <w:rPr>
                <w:rFonts w:hint="eastAsia" w:ascii="仿宋" w:hAnsi="仿宋" w:eastAsia="仿宋"/>
                <w:sz w:val="28"/>
                <w:szCs w:val="28"/>
              </w:rPr>
              <w:t>提供网络布线、千兆交换机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24" w:hRule="atLeast"/>
        </w:trPr>
        <w:tc>
          <w:tcPr>
            <w:tcW w:w="870" w:type="dxa"/>
            <w:vAlign w:val="center"/>
          </w:tcPr>
          <w:p>
            <w:pPr>
              <w:jc w:val="center"/>
              <w:rPr>
                <w:rFonts w:ascii="仿宋" w:hAnsi="仿宋" w:eastAsia="仿宋"/>
                <w:sz w:val="28"/>
                <w:szCs w:val="28"/>
              </w:rPr>
            </w:pPr>
            <w:r>
              <w:rPr>
                <w:rFonts w:hint="eastAsia" w:ascii="仿宋" w:hAnsi="仿宋" w:eastAsia="仿宋"/>
                <w:sz w:val="28"/>
                <w:szCs w:val="28"/>
              </w:rPr>
              <w:t>5</w:t>
            </w:r>
          </w:p>
        </w:tc>
        <w:tc>
          <w:tcPr>
            <w:tcW w:w="1337" w:type="dxa"/>
            <w:vAlign w:val="center"/>
          </w:tcPr>
          <w:p>
            <w:pPr>
              <w:jc w:val="center"/>
              <w:rPr>
                <w:rFonts w:ascii="仿宋" w:hAnsi="仿宋" w:eastAsia="仿宋"/>
                <w:sz w:val="28"/>
                <w:szCs w:val="28"/>
              </w:rPr>
            </w:pPr>
            <w:r>
              <w:rPr>
                <w:rFonts w:hint="eastAsia" w:ascii="仿宋" w:hAnsi="仿宋" w:eastAsia="仿宋"/>
                <w:sz w:val="28"/>
                <w:szCs w:val="28"/>
              </w:rPr>
              <w:t>现场布置</w:t>
            </w:r>
          </w:p>
        </w:tc>
        <w:tc>
          <w:tcPr>
            <w:tcW w:w="912" w:type="dxa"/>
            <w:vAlign w:val="center"/>
          </w:tcPr>
          <w:p>
            <w:pPr>
              <w:jc w:val="center"/>
              <w:rPr>
                <w:rFonts w:ascii="仿宋" w:hAnsi="仿宋" w:eastAsia="仿宋"/>
                <w:sz w:val="28"/>
                <w:szCs w:val="28"/>
                <w:highlight w:val="yellow"/>
              </w:rPr>
            </w:pPr>
            <w:r>
              <w:rPr>
                <w:rFonts w:hint="eastAsia" w:ascii="仿宋" w:hAnsi="仿宋" w:eastAsia="仿宋"/>
                <w:sz w:val="28"/>
                <w:szCs w:val="28"/>
              </w:rPr>
              <w:t>足量</w:t>
            </w:r>
          </w:p>
        </w:tc>
        <w:tc>
          <w:tcPr>
            <w:tcW w:w="5560" w:type="dxa"/>
            <w:vAlign w:val="center"/>
          </w:tcPr>
          <w:p>
            <w:pPr>
              <w:jc w:val="left"/>
              <w:rPr>
                <w:rFonts w:ascii="仿宋" w:hAnsi="仿宋" w:eastAsia="仿宋"/>
                <w:sz w:val="28"/>
                <w:szCs w:val="28"/>
              </w:rPr>
            </w:pPr>
            <w:r>
              <w:rPr>
                <w:rFonts w:hint="eastAsia" w:ascii="仿宋" w:hAnsi="仿宋" w:eastAsia="仿宋"/>
                <w:sz w:val="28"/>
                <w:szCs w:val="28"/>
              </w:rPr>
              <w:t>工位隔断、环境布置、桌椅等</w:t>
            </w:r>
          </w:p>
        </w:tc>
      </w:tr>
    </w:tbl>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3、选手自带清单</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①竞赛选手携带身份证、参赛证。</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②选手参赛服饰上无任何标识。</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③选手不得携带u盘等电子资料或其他资料。</w:t>
      </w:r>
    </w:p>
    <w:p>
      <w:pPr>
        <w:spacing w:line="360" w:lineRule="auto"/>
        <w:outlineLvl w:val="0"/>
        <w:rPr>
          <w:rFonts w:ascii="宋体" w:hAnsi="宋体" w:cs="宋体"/>
          <w:b/>
          <w:color w:val="000000"/>
          <w:sz w:val="32"/>
          <w:szCs w:val="32"/>
        </w:rPr>
      </w:pPr>
      <w:bookmarkStart w:id="3" w:name="_Toc12554"/>
      <w:r>
        <w:rPr>
          <w:rFonts w:hint="eastAsia" w:ascii="宋体" w:hAnsi="宋体" w:cs="宋体"/>
          <w:b/>
          <w:color w:val="000000"/>
          <w:sz w:val="32"/>
          <w:szCs w:val="32"/>
        </w:rPr>
        <w:t xml:space="preserve">   六、竞赛规则</w:t>
      </w:r>
      <w:bookmarkEnd w:id="3"/>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（一）理论知识竞赛规则</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1．参赛选手必须持本人身份证和参赛证参加竞赛。</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2．参赛选手必须按竞赛时间，提前15分钟检录进场。并按准考证号码指定位置入座。开赛后迟到30分钟者不得参加竞赛。竞赛开始30分钟后方可离开赛场。</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3．不准携带任何具有通讯功能的电子设备，不准携带书籍、笔记、纸张、存储设备等资料以及其它与考试无关的物品到座位。</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4．理论考试开始时，参赛选手必须将自己的姓名、证件号码</w:t>
      </w:r>
      <w:r>
        <w:rPr>
          <w:rFonts w:hint="eastAsia" w:ascii="仿宋" w:hAnsi="仿宋" w:eastAsia="仿宋" w:cs="仿宋"/>
          <w:color w:val="000000"/>
          <w:sz w:val="32"/>
          <w:szCs w:val="32"/>
        </w:rPr>
        <w:tab/>
      </w:r>
      <w:r>
        <w:rPr>
          <w:rFonts w:hint="eastAsia" w:ascii="仿宋" w:hAnsi="仿宋" w:eastAsia="仿宋" w:cs="仿宋"/>
          <w:color w:val="000000"/>
          <w:sz w:val="32"/>
          <w:szCs w:val="32"/>
        </w:rPr>
        <w:t>(身份证号或抽签号，具体以考试系统为准)等填入到登录网站的规定位置，不要在机考电脑上做任何与答题无关的操作。</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5．考场内需保持安静，自觉遵守考场纪律。不得吸烟、不得喧哗，不准交头接耳、左顾右盼，不准打手势做暗号、不准偷看、抄袭或有意让他人抄袭，不准传抄答案、递稿纸等。</w:t>
      </w:r>
    </w:p>
    <w:p>
      <w:pPr>
        <w:pStyle w:val="4"/>
        <w:spacing w:before="134" w:line="319"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6．当宣布理论考试结束后，参赛选手须立即停止答题，点击提交试卷，待监考人员确认提交后方可离开考场。考场上所发的任何考试材料不得带出比赛现场。</w:t>
      </w:r>
    </w:p>
    <w:p>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7．参赛选手应严格遵守考场规则，对违反考场规则，取消比赛资格，竞赛成绩无效并按规定追究相关责任。</w:t>
      </w:r>
    </w:p>
    <w:p>
      <w:pPr>
        <w:spacing w:line="360" w:lineRule="auto"/>
        <w:ind w:firstLine="640" w:firstLineChars="200"/>
      </w:pPr>
      <w:r>
        <w:rPr>
          <w:rFonts w:hint="eastAsia" w:ascii="仿宋" w:hAnsi="仿宋" w:eastAsia="仿宋" w:cs="仿宋"/>
          <w:color w:val="000000"/>
          <w:sz w:val="32"/>
          <w:szCs w:val="32"/>
        </w:rPr>
        <w:t>8．理论知识竞赛以闭卷机考方式进行，竞赛时间为90分钟。</w:t>
      </w:r>
    </w:p>
    <w:p>
      <w:pPr>
        <w:spacing w:line="360" w:lineRule="auto"/>
        <w:ind w:firstLine="320" w:firstLineChars="100"/>
        <w:rPr>
          <w:rFonts w:ascii="楷体" w:hAnsi="楷体" w:eastAsia="楷体" w:cs="楷体"/>
          <w:color w:val="000000"/>
          <w:sz w:val="32"/>
          <w:szCs w:val="32"/>
        </w:rPr>
      </w:pPr>
      <w:r>
        <w:rPr>
          <w:rFonts w:hint="eastAsia" w:ascii="楷体" w:hAnsi="楷体" w:eastAsia="楷体" w:cs="楷体"/>
          <w:color w:val="000000"/>
          <w:sz w:val="32"/>
          <w:szCs w:val="32"/>
        </w:rPr>
        <w:t>（二）技能操作竞赛规则</w:t>
      </w:r>
    </w:p>
    <w:p>
      <w:pPr>
        <w:pStyle w:val="4"/>
        <w:spacing w:before="134" w:line="360" w:lineRule="auto"/>
        <w:ind w:right="-92" w:rightChars="-44" w:firstLine="640"/>
        <w:rPr>
          <w:rFonts w:ascii="仿宋" w:hAnsi="仿宋" w:eastAsia="仿宋" w:cs="仿宋"/>
          <w:color w:val="000000"/>
          <w:sz w:val="32"/>
          <w:szCs w:val="32"/>
        </w:rPr>
      </w:pPr>
      <w:bookmarkStart w:id="4" w:name="_Toc2927"/>
      <w:r>
        <w:rPr>
          <w:rFonts w:hint="eastAsia" w:ascii="仿宋" w:hAnsi="仿宋" w:eastAsia="仿宋" w:cs="仿宋"/>
          <w:color w:val="000000"/>
          <w:sz w:val="32"/>
          <w:szCs w:val="32"/>
        </w:rPr>
        <w:t>1.提前30分钟到场，由竞赛办赛务组负责选手签到、抽签。</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2.比赛前10分钟，参赛选手凭身份证进入赛场候赛区，核对参赛选手身份证，引导选手进入竞赛指定场地。</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3.参赛选手按抽签号顺序依次进入考场。</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4.竞赛用品由赛场统一提供，参赛选手按要求完成相关操作。</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5.竞赛过程中，如果确实是因为设备故障原因导致参赛选手中断或终止竞赛，由现场裁判员报裁判长，由裁判长视具体情况做出决定。</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6.竞赛过程中，参赛选手若需休息、饮水或去洗手间，一律计算在操作时间内。</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7.如果参赛选手提前结束竞赛，应举手向现场裁判员示意，参赛选手提前结束比赛后不得再进行任何操作，并迅速离开考场；竞赛时间结束后，各参赛选手应停止操作。</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8.参赛选手应严格遵守赛场规则，对违反赛场规则，不服从现场裁判员劝阻者，经裁判长裁决取消比赛资格，竞赛成绩无效并按规定追究相关责任。</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（三）赛场规则</w:t>
      </w:r>
    </w:p>
    <w:bookmarkEnd w:id="4"/>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1.各赛务人员(工作人员、裁判员、裁判长、组委会人员等)必须统一佩戴由大赛组委会签发的相关证明，着装整齐。</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2.各赛场除现场裁判、巡视和赛场配备的工作人员以外，其他人员未经允许不得进入赛场。</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3.新闻媒体等进入赛场必须经过组委会允许，并且听从现场工作人员的安排和管理，不得影响竞赛进行。</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4.各参赛人员的陪同人员一律不得进入赛扬。</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5.除组办方统一提供的竞赛用品外，各参赛选手禁止在赛场内使用任何自带用品、电子设备(如：包括但不限于手机、平板电脑、笔记本电脑、移动存储设备等)。</w:t>
      </w:r>
    </w:p>
    <w:p>
      <w:pPr>
        <w:spacing w:line="360" w:lineRule="auto"/>
        <w:outlineLvl w:val="0"/>
        <w:rPr>
          <w:rFonts w:ascii="宋体" w:hAnsi="宋体" w:cs="宋体"/>
          <w:b/>
          <w:color w:val="000000"/>
          <w:sz w:val="32"/>
          <w:szCs w:val="32"/>
        </w:rPr>
      </w:pPr>
      <w:r>
        <w:rPr>
          <w:rFonts w:hint="eastAsia" w:ascii="宋体" w:hAnsi="宋体" w:cs="宋体"/>
          <w:b/>
          <w:color w:val="000000"/>
          <w:sz w:val="32"/>
          <w:szCs w:val="32"/>
        </w:rPr>
        <w:t>七、竞赛注意事项</w:t>
      </w:r>
    </w:p>
    <w:p>
      <w:pPr>
        <w:spacing w:before="148" w:line="360" w:lineRule="auto"/>
        <w:ind w:left="844"/>
        <w:outlineLvl w:val="0"/>
        <w:rPr>
          <w:rFonts w:asciiTheme="minorEastAsia" w:hAnsiTheme="minorEastAsia" w:cstheme="minorEastAsia"/>
          <w:b/>
          <w:bCs/>
          <w:spacing w:val="14"/>
          <w:sz w:val="28"/>
          <w:szCs w:val="28"/>
        </w:rPr>
      </w:pPr>
      <w:r>
        <w:rPr>
          <w:rFonts w:hint="eastAsia" w:ascii="楷体" w:hAnsi="楷体" w:eastAsia="楷体" w:cs="楷体"/>
          <w:color w:val="000000"/>
          <w:sz w:val="32"/>
          <w:szCs w:val="32"/>
        </w:rPr>
        <w:t>(一)选手注意事项</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1.参赛选手在正式开考(赛)后迟到30分钟的，视为弃赛，弃赛项目成绩计为零分。</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2.参赛选手应遵守赛场纪律，服从现场指挥和调度，爱护场内设施设备，不得使用手机等通讯工具，不得影响他人竞赛。</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3.所有比赛内容要在规定时间完成，时间结束应立即停止。超时、未完成部分不得分。</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4.竞赛选手应严格服从裁判长指挥，裁判员发出“开始”口令后，竞赛选手方可开始操作，裁判员示意比赛结束时，竞赛选手应立即停止操作。</w:t>
      </w:r>
    </w:p>
    <w:p>
      <w:pPr>
        <w:spacing w:line="360" w:lineRule="auto"/>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rPr>
        <w:t>(二)违规处理办法</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1.发现参赛选手不符合报名规定条件的、冒名顶替参赛、弄虚作假的或以其他非法手段赢取比赛的，报经大赛组委会核实批准后，一律取消该参赛选手的参赛资格、比赛结果，追回奖金，撤销证书、荣誉称号，同时依法追究有关人员责任并通报其所在单位，并自次年起三年内禁止参加人力社保部门竞赛计划内的职业技能竞赛，涉嫌违法犯罪的，一并移送相关部门追究法律责任。</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2.参赛选手有下列情节之一，其比赛相应项成绩计为零分：</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(1)比赛期间违规透漏选手或其单位任何信息者。</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(2)在比赛现场内与他人(队)交头接耳，或有偷看、暗示等作弊行为者。</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(3)比赛期间携带、使用任何具有或可能具有通讯功能、数据存储功能的设备。</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(4)裁判员根据大赛要求宣布比赛结束后，仍强行作答或操作者。</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(5)不服从裁判员的裁决，扰乱竞赛秩序，影响比赛进程，情节恶劣者。</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(6)其他违反比赛规则不听劝告者。</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(7)违反安全操作造成竞赛设备损毁或参赛人受伤的。</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3.各参赛选手须按照大赛规定和赛题要求操作设备，禁止在竞赛设备上做任何与竞赛无关的标记；除大赛规定参赛选手填写的信息外，不能出现透露参赛选手身份的任何信息，否则视为作弊，相应赛项的成绩计为零。</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4.参赛选手对竞赛过程中或比赛结束后对竞赛结果有异议的，应由参赛选手本人在竞赛当天或竞赛期间及时向组委会提出陈述与申辩。不得与各赛务人员直接交涉，违者视情节轻重，予以警告、取消参赛资格(比赛成绩)和获奖名次，并通报所在单位。</w:t>
      </w:r>
    </w:p>
    <w:p>
      <w:pPr>
        <w:spacing w:line="360" w:lineRule="auto"/>
        <w:outlineLvl w:val="0"/>
        <w:rPr>
          <w:rFonts w:ascii="宋体" w:hAnsi="宋体" w:cs="宋体"/>
          <w:b/>
          <w:color w:val="000000"/>
          <w:sz w:val="32"/>
          <w:szCs w:val="32"/>
        </w:rPr>
      </w:pPr>
      <w:r>
        <w:rPr>
          <w:rFonts w:hint="eastAsia" w:ascii="宋体" w:hAnsi="宋体" w:cs="宋体"/>
          <w:b/>
          <w:color w:val="000000"/>
          <w:sz w:val="32"/>
          <w:szCs w:val="32"/>
        </w:rPr>
        <w:t>八、其他</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1、本技术文件未尽事宜将在后续补充文件中确定。</w:t>
      </w:r>
    </w:p>
    <w:p>
      <w:pPr>
        <w:pStyle w:val="4"/>
        <w:spacing w:before="134" w:line="360" w:lineRule="auto"/>
        <w:ind w:right="-92" w:rightChars="-44" w:firstLine="640"/>
        <w:rPr>
          <w:rFonts w:ascii="仿宋" w:hAnsi="仿宋" w:eastAsia="仿宋" w:cs="仿宋"/>
          <w:color w:val="000000"/>
          <w:sz w:val="32"/>
          <w:szCs w:val="32"/>
        </w:rPr>
      </w:pPr>
      <w:r>
        <w:rPr>
          <w:rFonts w:hint="eastAsia" w:ascii="仿宋" w:hAnsi="仿宋" w:eastAsia="仿宋" w:cs="仿宋"/>
          <w:color w:val="000000"/>
          <w:sz w:val="32"/>
          <w:szCs w:val="32"/>
        </w:rPr>
        <w:t>2、本技术文件的最终解释权归竞赛组委会。</w:t>
      </w:r>
    </w:p>
    <w:p>
      <w:pPr>
        <w:pStyle w:val="4"/>
        <w:spacing w:before="134" w:line="360" w:lineRule="auto"/>
        <w:ind w:right="-92" w:rightChars="-44" w:firstLine="640"/>
        <w:rPr>
          <w:rFonts w:ascii="仿宋" w:hAnsi="仿宋" w:eastAsia="仿宋" w:cs="仿宋"/>
          <w:color w:val="000000"/>
          <w:sz w:val="32"/>
          <w:szCs w:val="32"/>
        </w:rPr>
      </w:pPr>
    </w:p>
    <w:p>
      <w:pPr>
        <w:pStyle w:val="4"/>
        <w:spacing w:before="134" w:line="360" w:lineRule="auto"/>
        <w:ind w:right="-92" w:rightChars="-44" w:firstLine="640"/>
        <w:rPr>
          <w:rFonts w:ascii="仿宋" w:hAnsi="仿宋" w:eastAsia="仿宋" w:cs="仿宋"/>
          <w:color w:val="000000"/>
          <w:sz w:val="32"/>
          <w:szCs w:val="32"/>
        </w:rPr>
      </w:pPr>
    </w:p>
    <w:sectPr>
      <w:headerReference r:id="rId3" w:type="default"/>
      <w:footerReference r:id="rId4" w:type="default"/>
      <w:pgSz w:w="11907" w:h="16840"/>
      <w:pgMar w:top="850" w:right="1803" w:bottom="1440" w:left="1803" w:header="851" w:footer="1417" w:gutter="0"/>
      <w:pgNumType w:fmt="numberInDash"/>
      <w:cols w:space="0" w:num="1"/>
      <w:docGrid w:linePitch="58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0000000000000000000"/>
    <w:charset w:val="86"/>
    <w:family w:val="swiss"/>
    <w:pitch w:val="default"/>
    <w:sig w:usb0="00000000" w:usb1="00000000" w:usb2="00000000" w:usb3="00000000" w:csb0="00040000" w:csb1="00000000"/>
  </w:font>
  <w:font w:name="Inria Serif">
    <w:altName w:val="URW Bookman"/>
    <w:panose1 w:val="00000000000000000000"/>
    <w:charset w:val="00"/>
    <w:family w:val="auto"/>
    <w:pitch w:val="default"/>
    <w:sig w:usb0="00000000" w:usb1="00000000" w:usb2="00000000" w:usb3="00000000" w:csb0="00000001" w:csb1="00000000"/>
  </w:font>
  <w:font w:name="Times New Roman (Headings CS)">
    <w:altName w:val="DejaVu Sans"/>
    <w:panose1 w:val="00000000000000000000"/>
    <w:charset w:val="00"/>
    <w:family w:val="modern"/>
    <w:pitch w:val="default"/>
    <w:sig w:usb0="00000000" w:usb1="00000000" w:usb2="00000000" w:usb3="00000000" w:csb0="00000001" w:csb1="00000000"/>
  </w:font>
  <w:font w:name="Frutiger LT Com 45 Light">
    <w:altName w:val="URW Bookman"/>
    <w:panose1 w:val="00000000000000000000"/>
    <w:charset w:val="00"/>
    <w:family w:val="decorative"/>
    <w:pitch w:val="default"/>
    <w:sig w:usb0="00000000" w:usb1="00000000" w:usb2="00000000" w:usb3="00000000" w:csb0="00000001" w:csb1="00000000"/>
  </w:font>
  <w:font w:name="Arial">
    <w:altName w:val="DejaVu Sans"/>
    <w:panose1 w:val="020B0604020202020204"/>
    <w:charset w:val="00"/>
    <w:family w:val="swiss"/>
    <w:pitch w:val="default"/>
    <w:sig w:usb0="00000000" w:usb1="00000000" w:usb2="00000009" w:usb3="00000000" w:csb0="000001F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URW Bookman">
    <w:panose1 w:val="000004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62FD7"/>
    <w:multiLevelType w:val="singleLevel"/>
    <w:tmpl w:val="E7F62FD7"/>
    <w:lvl w:ilvl="0" w:tentative="0">
      <w:start w:val="1"/>
      <w:numFmt w:val="chineseCounting"/>
      <w:suff w:val="nothing"/>
      <w:lvlText w:val="%1、"/>
      <w:lvlJc w:val="left"/>
      <w:pPr>
        <w:ind w:left="642" w:firstLine="0"/>
      </w:pPr>
      <w:rPr>
        <w:rFonts w:hint="eastAsia"/>
      </w:rPr>
    </w:lvl>
  </w:abstractNum>
  <w:abstractNum w:abstractNumId="1">
    <w:nsid w:val="00000003"/>
    <w:multiLevelType w:val="multilevel"/>
    <w:tmpl w:val="00000003"/>
    <w:lvl w:ilvl="0" w:tentative="0">
      <w:start w:val="4"/>
      <w:numFmt w:val="japaneseCounting"/>
      <w:pStyle w:val="20"/>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NDY5ZTQ1Y2UyZGFkNWI2MTM1MWVjYmRlZDgyYzUifQ=="/>
  </w:docVars>
  <w:rsids>
    <w:rsidRoot w:val="73F151D0"/>
    <w:rsid w:val="000258BA"/>
    <w:rsid w:val="00057FE2"/>
    <w:rsid w:val="000A3683"/>
    <w:rsid w:val="000A60A9"/>
    <w:rsid w:val="000C37F6"/>
    <w:rsid w:val="001360B8"/>
    <w:rsid w:val="001376C6"/>
    <w:rsid w:val="00143455"/>
    <w:rsid w:val="00163386"/>
    <w:rsid w:val="00177735"/>
    <w:rsid w:val="00181315"/>
    <w:rsid w:val="001829D5"/>
    <w:rsid w:val="001B7959"/>
    <w:rsid w:val="001D6D4A"/>
    <w:rsid w:val="001F6D5E"/>
    <w:rsid w:val="00206F68"/>
    <w:rsid w:val="0021665F"/>
    <w:rsid w:val="00231107"/>
    <w:rsid w:val="002342B8"/>
    <w:rsid w:val="00234A36"/>
    <w:rsid w:val="002465A7"/>
    <w:rsid w:val="00281D8D"/>
    <w:rsid w:val="002A4EB1"/>
    <w:rsid w:val="002B39A3"/>
    <w:rsid w:val="002B5986"/>
    <w:rsid w:val="002E479B"/>
    <w:rsid w:val="002F1B96"/>
    <w:rsid w:val="00304154"/>
    <w:rsid w:val="00304EC3"/>
    <w:rsid w:val="00306567"/>
    <w:rsid w:val="003104C1"/>
    <w:rsid w:val="00335843"/>
    <w:rsid w:val="0035769B"/>
    <w:rsid w:val="003668BE"/>
    <w:rsid w:val="0037243F"/>
    <w:rsid w:val="003B5CFE"/>
    <w:rsid w:val="003E08EB"/>
    <w:rsid w:val="004733B7"/>
    <w:rsid w:val="004949D0"/>
    <w:rsid w:val="00506B5D"/>
    <w:rsid w:val="00510318"/>
    <w:rsid w:val="00554AFC"/>
    <w:rsid w:val="00564C76"/>
    <w:rsid w:val="00586D01"/>
    <w:rsid w:val="005B474F"/>
    <w:rsid w:val="005E0116"/>
    <w:rsid w:val="00600B45"/>
    <w:rsid w:val="006234D9"/>
    <w:rsid w:val="006F6088"/>
    <w:rsid w:val="0073416F"/>
    <w:rsid w:val="007375D8"/>
    <w:rsid w:val="0079485D"/>
    <w:rsid w:val="00813470"/>
    <w:rsid w:val="0084513A"/>
    <w:rsid w:val="008A0200"/>
    <w:rsid w:val="008A7804"/>
    <w:rsid w:val="008D5AB4"/>
    <w:rsid w:val="008E6BB4"/>
    <w:rsid w:val="009070F7"/>
    <w:rsid w:val="00913CC8"/>
    <w:rsid w:val="009162B1"/>
    <w:rsid w:val="00930B46"/>
    <w:rsid w:val="009E52A2"/>
    <w:rsid w:val="009F749A"/>
    <w:rsid w:val="00A030B1"/>
    <w:rsid w:val="00A17A62"/>
    <w:rsid w:val="00A4210B"/>
    <w:rsid w:val="00A86993"/>
    <w:rsid w:val="00B74579"/>
    <w:rsid w:val="00B923BC"/>
    <w:rsid w:val="00B977FF"/>
    <w:rsid w:val="00C96E90"/>
    <w:rsid w:val="00CF7DFB"/>
    <w:rsid w:val="00D61560"/>
    <w:rsid w:val="00DA2CCB"/>
    <w:rsid w:val="00DA5F4E"/>
    <w:rsid w:val="00DC1C3A"/>
    <w:rsid w:val="00DF30CF"/>
    <w:rsid w:val="00EA2DFC"/>
    <w:rsid w:val="00EC4A91"/>
    <w:rsid w:val="00F27947"/>
    <w:rsid w:val="00F5056E"/>
    <w:rsid w:val="00F93BDC"/>
    <w:rsid w:val="00FA74CE"/>
    <w:rsid w:val="00FB4FFF"/>
    <w:rsid w:val="00FC6357"/>
    <w:rsid w:val="00FE653F"/>
    <w:rsid w:val="02F66355"/>
    <w:rsid w:val="03B219A1"/>
    <w:rsid w:val="04886FBF"/>
    <w:rsid w:val="05127BE0"/>
    <w:rsid w:val="07223368"/>
    <w:rsid w:val="07FC4E7E"/>
    <w:rsid w:val="09560BBC"/>
    <w:rsid w:val="11A26566"/>
    <w:rsid w:val="15B9513D"/>
    <w:rsid w:val="15CE0391"/>
    <w:rsid w:val="1BCF5EDA"/>
    <w:rsid w:val="1C0A0A9F"/>
    <w:rsid w:val="1CA61B3D"/>
    <w:rsid w:val="1D050518"/>
    <w:rsid w:val="1D9507A1"/>
    <w:rsid w:val="1DCD43A3"/>
    <w:rsid w:val="1DF83E91"/>
    <w:rsid w:val="1DFA74A6"/>
    <w:rsid w:val="1F0A274B"/>
    <w:rsid w:val="1F5C4199"/>
    <w:rsid w:val="20876F0D"/>
    <w:rsid w:val="264B2FCC"/>
    <w:rsid w:val="2C501BEC"/>
    <w:rsid w:val="32DD0404"/>
    <w:rsid w:val="382A3539"/>
    <w:rsid w:val="3A992D96"/>
    <w:rsid w:val="3C114533"/>
    <w:rsid w:val="3CC9460F"/>
    <w:rsid w:val="3D5017BF"/>
    <w:rsid w:val="3F946A88"/>
    <w:rsid w:val="3FB26BEF"/>
    <w:rsid w:val="40177D6F"/>
    <w:rsid w:val="42B305F6"/>
    <w:rsid w:val="43926181"/>
    <w:rsid w:val="46180374"/>
    <w:rsid w:val="47886C6B"/>
    <w:rsid w:val="47C70AF5"/>
    <w:rsid w:val="4AE5220B"/>
    <w:rsid w:val="4B084DD3"/>
    <w:rsid w:val="4FA534B1"/>
    <w:rsid w:val="5071465D"/>
    <w:rsid w:val="51932F3A"/>
    <w:rsid w:val="51CC440D"/>
    <w:rsid w:val="523914C7"/>
    <w:rsid w:val="55E3126A"/>
    <w:rsid w:val="57FB5F84"/>
    <w:rsid w:val="59A80F61"/>
    <w:rsid w:val="5E44456C"/>
    <w:rsid w:val="5E500749"/>
    <w:rsid w:val="603F4A68"/>
    <w:rsid w:val="62552407"/>
    <w:rsid w:val="636A48AB"/>
    <w:rsid w:val="63A25373"/>
    <w:rsid w:val="655B303C"/>
    <w:rsid w:val="6848483D"/>
    <w:rsid w:val="68EC1065"/>
    <w:rsid w:val="691826AD"/>
    <w:rsid w:val="693E2401"/>
    <w:rsid w:val="6B765E14"/>
    <w:rsid w:val="6BE20961"/>
    <w:rsid w:val="6C261400"/>
    <w:rsid w:val="6DAFEDF5"/>
    <w:rsid w:val="6EEE2575"/>
    <w:rsid w:val="6FD771A1"/>
    <w:rsid w:val="71A16933"/>
    <w:rsid w:val="73F151D0"/>
    <w:rsid w:val="77E4199E"/>
    <w:rsid w:val="7A325EFB"/>
    <w:rsid w:val="7B972D51"/>
    <w:rsid w:val="7D0134F1"/>
    <w:rsid w:val="BA7B23C6"/>
    <w:rsid w:val="BB5BB026"/>
    <w:rsid w:val="C96FB28C"/>
    <w:rsid w:val="EAFF6CA9"/>
    <w:rsid w:val="F2F813EA"/>
    <w:rsid w:val="F5FF12F8"/>
    <w:rsid w:val="F7EC04A8"/>
    <w:rsid w:val="F7FD2917"/>
    <w:rsid w:val="FBFF57BB"/>
    <w:rsid w:val="FD9F8A88"/>
    <w:rsid w:val="FF5E6B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6"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spacing w:line="360" w:lineRule="auto"/>
      <w:ind w:firstLine="640" w:firstLineChars="200"/>
      <w:outlineLvl w:val="1"/>
    </w:pPr>
    <w:rPr>
      <w:rFonts w:ascii="黑体" w:hAnsi="黑体" w:eastAsia="楷体" w:cs="仿宋_GB2312"/>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4">
    <w:name w:val="Body Text"/>
    <w:basedOn w:val="1"/>
    <w:unhideWhenUsed/>
    <w:qFormat/>
    <w:uiPriority w:val="99"/>
    <w:pPr>
      <w:spacing w:after="120"/>
    </w:pPr>
  </w:style>
  <w:style w:type="paragraph" w:styleId="5">
    <w:name w:val="Body Text Indent"/>
    <w:basedOn w:val="1"/>
    <w:qFormat/>
    <w:uiPriority w:val="0"/>
    <w:pPr>
      <w:ind w:left="359" w:leftChars="171" w:firstLine="1"/>
      <w:jc w:val="center"/>
    </w:pPr>
    <w:rPr>
      <w:rFonts w:ascii="黑体" w:hAnsi="宋体" w:eastAsia="黑体"/>
      <w:sz w:val="44"/>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Title"/>
    <w:basedOn w:val="1"/>
    <w:next w:val="1"/>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paragraph" w:styleId="9">
    <w:name w:val="Body Text First Indent"/>
    <w:basedOn w:val="4"/>
    <w:qFormat/>
    <w:uiPriority w:val="6"/>
    <w:pPr>
      <w:tabs>
        <w:tab w:val="left" w:pos="482"/>
        <w:tab w:val="left" w:pos="2183"/>
        <w:tab w:val="left" w:pos="3884"/>
        <w:tab w:val="left" w:pos="5585"/>
      </w:tabs>
      <w:spacing w:after="0"/>
      <w:ind w:firstLine="482"/>
    </w:pPr>
    <w:rPr>
      <w:kern w:val="0"/>
      <w:sz w:val="24"/>
      <w:szCs w:val="20"/>
    </w:rPr>
  </w:style>
  <w:style w:type="paragraph" w:styleId="10">
    <w:name w:val="Body Text First Indent 2"/>
    <w:basedOn w:val="5"/>
    <w:qFormat/>
    <w:uiPriority w:val="0"/>
    <w:pPr>
      <w:widowControl/>
      <w:spacing w:before="100" w:beforeAutospacing="1" w:after="100" w:afterAutospacing="1"/>
      <w:ind w:left="420" w:leftChars="200" w:firstLine="420" w:firstLineChars="200"/>
      <w:jc w:val="left"/>
    </w:pPr>
    <w:rPr>
      <w:rFonts w:ascii="宋体" w:eastAsia="仿宋_GB2312" w:cs="Times New Roman"/>
      <w:kern w:val="0"/>
      <w:sz w:val="21"/>
      <w:szCs w:val="36"/>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qFormat/>
    <w:uiPriority w:val="0"/>
    <w:rPr>
      <w:color w:val="0000FF"/>
      <w:u w:val="single"/>
    </w:rPr>
  </w:style>
  <w:style w:type="character" w:customStyle="1" w:styleId="16">
    <w:name w:val="NormalCharacter"/>
    <w:semiHidden/>
    <w:qFormat/>
    <w:uiPriority w:val="0"/>
    <w:rPr>
      <w:kern w:val="2"/>
      <w:sz w:val="21"/>
      <w:szCs w:val="24"/>
      <w:lang w:val="en-US" w:eastAsia="zh-CN" w:bidi="ar-SA"/>
    </w:rPr>
  </w:style>
  <w:style w:type="paragraph" w:customStyle="1" w:styleId="17">
    <w:name w:val="WPSOffice手动目录 1"/>
    <w:qFormat/>
    <w:uiPriority w:val="0"/>
    <w:rPr>
      <w:rFonts w:ascii="Calibri" w:hAnsi="Calibri" w:eastAsia="宋体" w:cs="Times New Roman"/>
      <w:lang w:val="en-US" w:eastAsia="zh-CN" w:bidi="ar-SA"/>
    </w:rPr>
  </w:style>
  <w:style w:type="paragraph" w:customStyle="1" w:styleId="18">
    <w:name w:val="WPSOffice手动目录 2"/>
    <w:qFormat/>
    <w:uiPriority w:val="0"/>
    <w:pPr>
      <w:ind w:left="200" w:leftChars="200"/>
    </w:pPr>
    <w:rPr>
      <w:rFonts w:ascii="Calibri" w:hAnsi="Calibri" w:eastAsia="宋体" w:cs="Times New Roman"/>
      <w:lang w:val="en-US" w:eastAsia="zh-CN" w:bidi="ar-SA"/>
    </w:rPr>
  </w:style>
  <w:style w:type="paragraph" w:customStyle="1" w:styleId="19">
    <w:name w:val="Editable table text"/>
    <w:basedOn w:val="1"/>
    <w:qFormat/>
    <w:uiPriority w:val="0"/>
    <w:pPr>
      <w:widowControl/>
    </w:pPr>
    <w:rPr>
      <w:rFonts w:ascii="Frutiger LT Com 45 Light" w:hAnsi="Frutiger LT Com 45 Light"/>
      <w:color w:val="62B5E5"/>
      <w:kern w:val="0"/>
      <w:sz w:val="20"/>
      <w:lang w:val="en-GB" w:eastAsia="en-US"/>
    </w:rPr>
  </w:style>
  <w:style w:type="paragraph" w:customStyle="1" w:styleId="20">
    <w:name w:val="Table Bullet"/>
    <w:basedOn w:val="1"/>
    <w:qFormat/>
    <w:uiPriority w:val="0"/>
    <w:pPr>
      <w:widowControl/>
      <w:numPr>
        <w:ilvl w:val="0"/>
        <w:numId w:val="1"/>
      </w:numPr>
      <w:spacing w:after="120"/>
      <w:contextualSpacing/>
    </w:pPr>
    <w:rPr>
      <w:rFonts w:ascii="Frutiger LT Com 45 Light" w:hAnsi="Frutiger LT Com 45 Light"/>
      <w:kern w:val="0"/>
      <w:sz w:val="20"/>
      <w:szCs w:val="22"/>
      <w:lang w:val="en-GB" w:eastAsia="en-US"/>
    </w:rPr>
  </w:style>
  <w:style w:type="character" w:customStyle="1" w:styleId="21">
    <w:name w:val="Editable"/>
    <w:qFormat/>
    <w:uiPriority w:val="0"/>
    <w:rPr>
      <w:rFonts w:hint="default" w:ascii="Times New Roman" w:hAnsi="Times New Roman" w:eastAsia="宋体" w:cs="Times New Roman"/>
      <w:color w:val="62B5E5"/>
    </w:rPr>
  </w:style>
  <w:style w:type="paragraph" w:styleId="22">
    <w:name w:val="List Paragraph"/>
    <w:basedOn w:val="1"/>
    <w:qFormat/>
    <w:uiPriority w:val="34"/>
    <w:pPr>
      <w:widowControl/>
      <w:kinsoku w:val="0"/>
      <w:autoSpaceDE w:val="0"/>
      <w:autoSpaceDN w:val="0"/>
      <w:adjustRightInd w:val="0"/>
      <w:snapToGrid w:val="0"/>
      <w:ind w:firstLine="420" w:firstLineChars="200"/>
      <w:jc w:val="left"/>
      <w:textAlignment w:val="baseline"/>
    </w:pPr>
    <w:rPr>
      <w:rFonts w:ascii="Arial" w:hAnsi="Arial" w:eastAsia="Arial" w:cs="Arial"/>
      <w:snapToGrid w:val="0"/>
      <w:color w:val="000000"/>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671</Words>
  <Characters>3825</Characters>
  <Lines>31</Lines>
  <Paragraphs>8</Paragraphs>
  <TotalTime>4</TotalTime>
  <ScaleCrop>false</ScaleCrop>
  <LinksUpToDate>false</LinksUpToDate>
  <CharactersWithSpaces>4488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2024-04-05T00:09:00Z</dcterms:created>
  <dc:creator>优酱</dc:creator>
  <cp:lastModifiedBy>ChenYan</cp:lastModifiedBy>
  <cp:lastPrinted>2024-03-22T17:58:00Z</cp:lastPrinted>
  <dcterms:modified xsi:type="dcterms:W3CDTF">2024-11-19T09:21:56Z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66DF71BE642BB5BFFFF5146604EDF15D</vt:lpwstr>
  </property>
</Properties>
</file>