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2022年温州市中等职业学校教师职业技能大赛</w:t>
      </w:r>
    </w:p>
    <w:p>
      <w:pPr>
        <w:snapToGrid w:val="0"/>
        <w:spacing w:line="360" w:lineRule="auto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“</w:t>
      </w:r>
      <w:r>
        <w:rPr>
          <w:rFonts w:hint="eastAsia" w:ascii="方正小标宋简体" w:hAnsi="仿宋" w:eastAsia="方正小标宋简体"/>
          <w:bCs/>
          <w:sz w:val="32"/>
          <w:szCs w:val="32"/>
          <w:lang w:val="en-US" w:eastAsia="zh-Hans"/>
        </w:rPr>
        <w:t>茶叶加工</w:t>
      </w:r>
      <w:r>
        <w:rPr>
          <w:rFonts w:hint="eastAsia" w:ascii="方正小标宋简体" w:hAnsi="仿宋" w:eastAsia="方正小标宋简体"/>
          <w:bCs/>
          <w:sz w:val="32"/>
          <w:szCs w:val="32"/>
        </w:rPr>
        <w:t>”赛项技术文件</w:t>
      </w:r>
    </w:p>
    <w:p>
      <w:pPr>
        <w:spacing w:line="560" w:lineRule="exact"/>
        <w:ind w:firstLine="482" w:firstLineChars="200"/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一、赛项名称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赛项名称：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茶叶加工</w:t>
      </w: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 xml:space="preserve">赛项组别：中职组、行业职业技能。 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赛项类别：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农林牧渔类</w:t>
      </w: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。</w:t>
      </w:r>
    </w:p>
    <w:p>
      <w:pPr>
        <w:spacing w:line="560" w:lineRule="exact"/>
        <w:ind w:firstLine="482" w:firstLineChars="200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sz w:val="24"/>
        </w:rPr>
        <w:t>二、参赛队伍要求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1.本赛项为个人赛，选手独立完成比赛任务。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2.报名要求：本赛项为个人项目，即由1名选手完成竞赛任务。各校为单位组队参赛，每校限报3人。</w:t>
      </w:r>
    </w:p>
    <w:p>
      <w:pPr>
        <w:spacing w:line="560" w:lineRule="exact"/>
        <w:ind w:firstLine="482" w:firstLineChars="200"/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三、比赛内容和方式</w:t>
      </w:r>
    </w:p>
    <w:p>
      <w:pPr>
        <w:spacing w:before="57" w:line="359" w:lineRule="auto"/>
        <w:ind w:left="27" w:right="38" w:firstLine="506" w:firstLineChars="211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本大赛以原国家职业标准《茶叶加工工》中的高级技能（三级）为基准，适当增加部分技师（国家职业资格二级）为竞赛命题内容，大赛分理论知识和操作技能两部分，满分各100分。其中，理论知识部分采用闭卷笔试方式进行，操作技能部分采用现场操作方式进行。理论知识竞赛占20%，实际操作成绩占80%，按照竞赛总成绩排名，成绩从高到低排列名次（总分相同，以操作技能高者胜出）。</w:t>
      </w:r>
    </w:p>
    <w:p>
      <w:pPr>
        <w:spacing w:before="57" w:line="359" w:lineRule="auto"/>
        <w:ind w:right="38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本赛项具体包括以下内容：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理论笔试：采取闭卷形式，时间为</w:t>
      </w:r>
      <w:r>
        <w:rPr>
          <w:rFonts w:hint="default" w:ascii="仿宋_GB2312" w:hAnsi="仿宋" w:eastAsia="仿宋_GB2312"/>
          <w:bCs/>
          <w:color w:val="000000"/>
          <w:kern w:val="0"/>
          <w:sz w:val="24"/>
        </w:rPr>
        <w:t>60</w:t>
      </w: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分钟</w:t>
      </w:r>
      <w:r>
        <w:rPr>
          <w:rFonts w:hint="default" w:ascii="仿宋_GB2312" w:hAnsi="仿宋" w:eastAsia="仿宋_GB2312"/>
          <w:bCs/>
          <w:color w:val="000000"/>
          <w:kern w:val="0"/>
          <w:sz w:val="24"/>
        </w:rPr>
        <w:t>，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 xml:space="preserve">题型：选择题、判断题。 </w:t>
      </w:r>
    </w:p>
    <w:p>
      <w:pPr>
        <w:spacing w:before="57" w:line="359" w:lineRule="auto"/>
        <w:ind w:right="38"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操作技能：独立完成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手工</w:t>
      </w: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绿茶制作（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卷曲</w:t>
      </w: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形绿茶）。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绿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茶鲜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叶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1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k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g，竞赛时间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4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h；每项赛事，器具统一、鲜叶统一、场地统一、时间统一；</w:t>
      </w:r>
    </w:p>
    <w:p>
      <w:pPr>
        <w:spacing w:before="57" w:line="359" w:lineRule="auto"/>
        <w:ind w:right="38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" w:eastAsia="仿宋_GB2312"/>
          <w:b/>
          <w:bCs/>
          <w:color w:val="000000"/>
          <w:kern w:val="0"/>
          <w:sz w:val="24"/>
          <w:lang w:val="en-US" w:eastAsia="zh-Hans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  <w:lang w:val="en-US" w:eastAsia="zh-Hans"/>
        </w:rPr>
        <w:t>四</w:t>
      </w:r>
      <w:r>
        <w:rPr>
          <w:rFonts w:hint="default" w:ascii="仿宋_GB2312" w:hAnsi="仿宋" w:eastAsia="仿宋_GB2312"/>
          <w:b/>
          <w:bCs/>
          <w:color w:val="000000"/>
          <w:kern w:val="0"/>
          <w:sz w:val="24"/>
          <w:lang w:eastAsia="zh-Hans"/>
        </w:rPr>
        <w:t>、</w:t>
      </w: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评分标准</w:t>
      </w:r>
    </w:p>
    <w:p>
      <w:pPr>
        <w:spacing w:line="560" w:lineRule="exact"/>
        <w:ind w:firstLine="480" w:firstLineChars="200"/>
        <w:rPr>
          <w:rFonts w:hint="default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手工制茶竞赛成绩评定依据茶叶加工国家职业标准和相关茶鲜叶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val="en-US" w:eastAsia="zh-CN"/>
        </w:rPr>
        <w:t>采摘标准及茶叶感官审评方法（GB/T23776-2018）相关规定，本着“公平、公正、公开、科学、规范”原则，充分展现参赛者手工制茶综合技能，为选拔与培养传统手工技艺工匠人才，制定评价体系。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1．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茶叶加工操作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评分的形式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及方法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采用独立评分方法。审评由多位专家组成，整个审评过程由每位审评专家独立完成。评委从制茶现场操作规范、成品茶质量和茶叶品质感官评审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三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个方面进行评比。</w:t>
      </w: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制茶现场操作规范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（5%）</w:t>
      </w:r>
    </w:p>
    <w:tbl>
      <w:tblPr>
        <w:tblW w:w="78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5"/>
        <w:gridCol w:w="534"/>
        <w:gridCol w:w="1551"/>
        <w:gridCol w:w="4215"/>
        <w:gridCol w:w="7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783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绿茶手工制茶现场操作规范评分标准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类别 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占比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考核项目 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考核要点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2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现场手工制茶操作规范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5%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职业素养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1.比赛开始前没有进行必要的设备检查，扣 3 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2.出现故障未经裁判允许，私自拆卸 设备、电源线，扣 5 分；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3.比赛中，出现违反现场用电安全行为，视情节严重程度扣 1-10 分。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制茶流程规范与关键技术熟练程度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1.设备操作不规范扣 1-10 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2.制茶流程不正确，每错 1 个 流程扣 3-5 分，扣完为止。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2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制茶技术娴熟与掌控度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1.标准掌握有偏差，视情节严重程度扣 1-5 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2.摊青技能技术不娴熟，视不熟练程度扣 1-5 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3.杀青技能技术不娴熟，视不熟练程度扣 1-5 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4.做形技能技术不娴熟，视不熟练程度扣 1-5 分；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5.干燥技能技术不娴熟，视不 熟练程度扣 1-5 分。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2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保持场地干净整洁、注意卫生防护、工具复原摆放正确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1.使用的场地杂乱无章，视情节严重程度扣 1-2 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 使用未经赛项执批准的器具、材料等，视情节严重程度扣 1-5 分；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3.使用设备后没有清洁设备及加工现场，扣 1-5 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4.工具摆放杂乱，扣 1-5 分。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比赛时间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超过比赛规定时间每 5 分钟扣 1 分， 扣完为止。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0" w:hRule="atLeast"/>
        </w:trPr>
        <w:tc>
          <w:tcPr>
            <w:tcW w:w="7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合计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100</w:t>
            </w:r>
          </w:p>
        </w:tc>
      </w:tr>
    </w:tbl>
    <w:p>
      <w:pPr>
        <w:numPr>
          <w:numId w:val="0"/>
        </w:numPr>
        <w:spacing w:line="560" w:lineRule="exact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</w:p>
    <w:p>
      <w:pPr>
        <w:numPr>
          <w:numId w:val="0"/>
        </w:numPr>
        <w:spacing w:line="560" w:lineRule="exact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成品茶质量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（5%）</w:t>
      </w:r>
    </w:p>
    <w:tbl>
      <w:tblPr>
        <w:tblW w:w="5820" w:type="dxa"/>
        <w:jc w:val="center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0"/>
        <w:gridCol w:w="570"/>
        <w:gridCol w:w="1725"/>
        <w:gridCol w:w="2385"/>
        <w:gridCol w:w="570"/>
      </w:tblGrid>
      <w:tr>
        <w:trPr>
          <w:trHeight w:val="285" w:hRule="atLeast"/>
          <w:jc w:val="center"/>
        </w:trPr>
        <w:tc>
          <w:tcPr>
            <w:tcW w:w="5820" w:type="dxa"/>
            <w:gridSpan w:val="5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手工制茶成品茶质量评分标准</w:t>
            </w:r>
          </w:p>
        </w:tc>
      </w:tr>
      <w:tr>
        <w:trPr>
          <w:trHeight w:val="285" w:hRule="atLeast"/>
          <w:jc w:val="center"/>
        </w:trPr>
        <w:tc>
          <w:tcPr>
            <w:tcW w:w="570" w:type="dxa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类别 </w:t>
            </w:r>
          </w:p>
        </w:tc>
        <w:tc>
          <w:tcPr>
            <w:tcW w:w="570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占比</w:t>
            </w:r>
          </w:p>
        </w:tc>
        <w:tc>
          <w:tcPr>
            <w:tcW w:w="172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考核项目 </w:t>
            </w:r>
          </w:p>
        </w:tc>
        <w:tc>
          <w:tcPr>
            <w:tcW w:w="238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考核要点 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分值</w:t>
            </w:r>
          </w:p>
        </w:tc>
      </w:tr>
      <w:tr>
        <w:trPr>
          <w:trHeight w:val="340" w:hRule="atLeast"/>
          <w:jc w:val="center"/>
        </w:trPr>
        <w:tc>
          <w:tcPr>
            <w:tcW w:w="570" w:type="dxa"/>
            <w:vMerge w:val="restart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vMerge w:val="restart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5%</w:t>
            </w:r>
          </w:p>
        </w:tc>
        <w:tc>
          <w:tcPr>
            <w:tcW w:w="1725" w:type="dxa"/>
            <w:vMerge w:val="restart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成品茶含成含水量</w:t>
            </w:r>
          </w:p>
        </w:tc>
        <w:tc>
          <w:tcPr>
            <w:tcW w:w="238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茶含水量≤7%，不扣分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>
        <w:trPr>
          <w:trHeight w:val="795" w:hRule="atLeast"/>
          <w:jc w:val="center"/>
        </w:trPr>
        <w:tc>
          <w:tcPr>
            <w:tcW w:w="570" w:type="dxa"/>
            <w:vMerge w:val="continue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8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7%&lt;茶含水量≤9%，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判分依据：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60-(茶含水量-7%)÷2%×40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285" w:hRule="atLeast"/>
          <w:jc w:val="center"/>
        </w:trPr>
        <w:tc>
          <w:tcPr>
            <w:tcW w:w="570" w:type="dxa"/>
            <w:vMerge w:val="continue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8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9%&lt;水分含量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570" w:type="dxa"/>
            <w:vMerge w:val="continue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Merge w:val="restart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成品茶制率</w:t>
            </w:r>
          </w:p>
        </w:tc>
        <w:tc>
          <w:tcPr>
            <w:tcW w:w="238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绿茶制率≥20%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rPr>
          <w:trHeight w:val="795" w:hRule="atLeast"/>
          <w:jc w:val="center"/>
        </w:trPr>
        <w:tc>
          <w:tcPr>
            <w:tcW w:w="570" w:type="dxa"/>
            <w:vMerge w:val="continue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8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19%≤绿茶制率&lt;20%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判分依据：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40-(20%-茶制率)÷1%×20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285" w:hRule="atLeast"/>
          <w:jc w:val="center"/>
        </w:trPr>
        <w:tc>
          <w:tcPr>
            <w:tcW w:w="570" w:type="dxa"/>
            <w:vMerge w:val="continue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Merge w:val="continue"/>
            <w:tcBorders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85" w:type="dxa"/>
            <w:tcBorders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绿茶制率&lt;19%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285" w:hRule="atLeast"/>
          <w:jc w:val="center"/>
        </w:trPr>
        <w:tc>
          <w:tcPr>
            <w:tcW w:w="5250" w:type="dxa"/>
            <w:gridSpan w:val="4"/>
            <w:tcBorders>
              <w:lef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Hans"/>
              </w:rPr>
              <w:t>合计</w:t>
            </w:r>
          </w:p>
        </w:tc>
        <w:tc>
          <w:tcPr>
            <w:tcW w:w="570" w:type="dxa"/>
            <w:tcBorders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100</w:t>
            </w:r>
          </w:p>
        </w:tc>
      </w:tr>
    </w:tbl>
    <w:p>
      <w:pPr>
        <w:numPr>
          <w:numId w:val="0"/>
        </w:numPr>
        <w:spacing w:line="560" w:lineRule="exact"/>
        <w:rPr>
          <w:rFonts w:hint="eastAsia" w:ascii="仿宋_GB2312" w:hAnsi="仿宋" w:eastAsia="仿宋_GB2312"/>
          <w:bCs/>
          <w:color w:val="000000"/>
          <w:kern w:val="0"/>
          <w:sz w:val="24"/>
          <w:lang w:eastAsia="zh-CN"/>
        </w:rPr>
      </w:pP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茶叶品质感官评审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（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90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%）</w:t>
      </w:r>
    </w:p>
    <w:p>
      <w:pPr>
        <w:spacing w:line="560" w:lineRule="exact"/>
        <w:ind w:firstLine="480" w:firstLineChars="200"/>
        <w:rPr>
          <w:rFonts w:hint="default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评分前工作人员对茶样进行密码编号，审评人员在不了解茶样的来源、密码条件下进行盲评，根据审评知识与品质标准，按外形、汤色、香气、滋味和叶底“五因子”，采用百分制，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占比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Hans"/>
        </w:rPr>
        <w:t>90%，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在公平、公正条件下给每个茶样每项因子进行评分。</w:t>
      </w:r>
    </w:p>
    <w:tbl>
      <w:tblPr>
        <w:tblW w:w="51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1"/>
        <w:gridCol w:w="693"/>
        <w:gridCol w:w="693"/>
        <w:gridCol w:w="693"/>
        <w:gridCol w:w="693"/>
        <w:gridCol w:w="1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5760" w:type="dxa"/>
            <w:gridSpan w:val="6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成品茶感官审评各因子评分权重表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茶类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外形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汤色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香气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滋味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绿茶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35" w:hRule="atLeast"/>
          <w:jc w:val="center"/>
        </w:trPr>
        <w:tc>
          <w:tcPr>
            <w:tcW w:w="57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备注：具体评分参照 GB/T 23776-2018 茶叶感官审评方法的规定，根据比赛实 际情况，对各项因子权重进行了合理调整。</w:t>
            </w:r>
          </w:p>
        </w:tc>
      </w:tr>
    </w:tbl>
    <w:p>
      <w:pPr>
        <w:spacing w:line="560" w:lineRule="exact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</w:p>
    <w:p>
      <w:pPr>
        <w:spacing w:line="560" w:lineRule="exact"/>
        <w:ind w:firstLine="480" w:firstLineChars="200"/>
        <w:rPr>
          <w:rFonts w:hint="default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2</w:t>
      </w:r>
      <w:bookmarkStart w:id="0" w:name="_GoBack"/>
      <w:bookmarkEnd w:id="0"/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.名次的确定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赛项最终得分按百分制计分：选手比赛成绩=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茶叶加工技能操作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成绩×80%+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理论知识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×20%，出现成绩相同排名顺序依照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茶叶加工技能操作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成绩、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Hans"/>
        </w:rPr>
        <w:t>理论知识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成绩再进行排名。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</w:p>
    <w:p>
      <w:pPr>
        <w:numPr>
          <w:ilvl w:val="0"/>
          <w:numId w:val="2"/>
        </w:numPr>
        <w:spacing w:line="560" w:lineRule="exact"/>
        <w:ind w:firstLine="482" w:firstLineChars="200"/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竞赛标准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赛项命题结合茶叶手工制茶职业岗位的技能需求，并参照《茶叶感官审评方法》（GB/T23776-2018）、《茶叶加工术语》GH/T 1124-2016、 《茶叶加工良好规范》GB/T 32744-2016 和《茶叶加工国家职业标准》 （高级工）相关标准制定，并适当增加新知识、新技术、新技能等相关内容。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绿茶手工操作规范：鲜叶摊放→杀青→造形→干燥</w:t>
      </w: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六、技术平台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 xml:space="preserve">1.竞赛场地照明、控温良好，能提供稳定的水、电。 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 xml:space="preserve">2.项目制茶设备与材料 </w:t>
      </w:r>
    </w:p>
    <w:p>
      <w:pPr>
        <w:spacing w:line="560" w:lineRule="exact"/>
        <w:ind w:firstLine="480" w:firstLineChars="200"/>
        <w:jc w:val="center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竞赛项目所用主要大型设备清单</w:t>
      </w:r>
    </w:p>
    <w:tbl>
      <w:tblPr>
        <w:tblStyle w:val="12"/>
        <w:tblpPr w:leftFromText="180" w:rightFromText="180" w:vertAnchor="text" w:tblpXSpec="left" w:tblpY="1"/>
        <w:tblOverlap w:val="never"/>
        <w:tblW w:w="8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617"/>
        <w:gridCol w:w="3112"/>
        <w:gridCol w:w="2182"/>
      </w:tblGrid>
      <w:tr>
        <w:tc>
          <w:tcPr>
            <w:tcW w:w="81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序号  </w:t>
            </w:r>
          </w:p>
        </w:tc>
        <w:tc>
          <w:tcPr>
            <w:tcW w:w="261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设备名称 </w:t>
            </w:r>
          </w:p>
        </w:tc>
        <w:tc>
          <w:tcPr>
            <w:tcW w:w="31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规格 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单套数量</w:t>
            </w:r>
          </w:p>
        </w:tc>
      </w:tr>
      <w:tr>
        <w:tc>
          <w:tcPr>
            <w:tcW w:w="81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eastAsia="zh-CN" w:bidi="ar"/>
              </w:rPr>
              <w:t>1</w:t>
            </w:r>
          </w:p>
        </w:tc>
        <w:tc>
          <w:tcPr>
            <w:tcW w:w="261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电炒锅</w:t>
            </w:r>
          </w:p>
        </w:tc>
        <w:tc>
          <w:tcPr>
            <w:tcW w:w="31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64CM 口径，3500W 功率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eastAsia="zh-CN" w:bidi="ar"/>
              </w:rPr>
              <w:t>10</w:t>
            </w:r>
          </w:p>
        </w:tc>
      </w:tr>
      <w:tr>
        <w:trPr>
          <w:trHeight w:val="312" w:hRule="atLeast"/>
        </w:trPr>
        <w:tc>
          <w:tcPr>
            <w:tcW w:w="81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eastAsia="zh-CN" w:bidi="ar"/>
              </w:rPr>
              <w:t>5</w:t>
            </w:r>
          </w:p>
        </w:tc>
        <w:tc>
          <w:tcPr>
            <w:tcW w:w="261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Hans" w:bidi="ar"/>
              </w:rPr>
              <w:t>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青架与竹匾</w:t>
            </w:r>
          </w:p>
        </w:tc>
        <w:tc>
          <w:tcPr>
            <w:tcW w:w="31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标配 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eastAsia="zh-CN" w:bidi="ar"/>
              </w:rPr>
              <w:t>10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0" w:lineRule="atLeast"/>
        <w:ind w:right="113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Hans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0" w:lineRule="atLeast"/>
        <w:ind w:right="113" w:rightChars="0"/>
        <w:jc w:val="center"/>
        <w:textAlignment w:val="baseline"/>
        <w:outlineLvl w:val="9"/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Hans"/>
        </w:rPr>
        <w:t>绿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茶制作器材</w:t>
      </w:r>
    </w:p>
    <w:p>
      <w:pPr>
        <w:pStyle w:val="4"/>
        <w:snapToGrid w:val="0"/>
        <w:ind w:right="244"/>
        <w:textAlignment w:val="baseline"/>
        <w:rPr>
          <w:rFonts w:hint="eastAsia" w:ascii="仿宋" w:hAnsi="仿宋" w:eastAsia="仿宋" w:cs="仿宋"/>
          <w:spacing w:val="-3"/>
          <w:sz w:val="24"/>
          <w:szCs w:val="24"/>
        </w:rPr>
      </w:pPr>
    </w:p>
    <w:tbl>
      <w:tblPr>
        <w:tblStyle w:val="11"/>
        <w:tblpPr w:leftFromText="181" w:rightFromText="181" w:topFromText="170" w:vertAnchor="text" w:tblpX="1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1904"/>
        <w:gridCol w:w="3620"/>
        <w:gridCol w:w="1663"/>
      </w:tblGrid>
      <w:tr>
        <w:trPr>
          <w:trHeight w:val="455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right="95" w:firstLine="315" w:firstLineChars="150"/>
              <w:jc w:val="both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ind w:right="-41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材料与工具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ind w:left="158" w:right="149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规格说明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ind w:left="134" w:right="124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茶鲜叶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一芽一、二叶（一芽一叶不低于80</w:t>
            </w:r>
            <w:r>
              <w:rPr>
                <w:szCs w:val="21"/>
              </w:rPr>
              <w:drawing>
                <wp:inline distT="0" distB="0" distL="114300" distR="114300">
                  <wp:extent cx="66040" cy="116840"/>
                  <wp:effectExtent l="0" t="0" r="10160" b="1016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" cy="11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szCs w:val="21"/>
              </w:rPr>
            </w:pPr>
            <w:r>
              <w:rPr>
                <w:rFonts w:hint="default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Hans"/>
              </w:rPr>
              <w:t>kg</w:t>
            </w:r>
            <w:r>
              <w:rPr>
                <w:rFonts w:hint="eastAsia"/>
                <w:szCs w:val="21"/>
              </w:rPr>
              <w:t>/人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棕帚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常规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1 把/人</w:t>
            </w:r>
          </w:p>
        </w:tc>
      </w:tr>
      <w:tr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大簸箕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常规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1 只/人</w:t>
            </w:r>
          </w:p>
        </w:tc>
      </w:tr>
      <w:tr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小簸箕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常规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1 只/人</w:t>
            </w:r>
          </w:p>
        </w:tc>
      </w:tr>
      <w:tr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毛巾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白色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default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 条/人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茶油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标配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1 份/人</w:t>
            </w:r>
          </w:p>
        </w:tc>
      </w:tr>
      <w:tr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矿泉水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500ml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2 瓶/人</w:t>
            </w:r>
          </w:p>
        </w:tc>
      </w:tr>
      <w:tr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砂皮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300-500目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Cs w:val="21"/>
              </w:rPr>
              <w:t>1张/人</w:t>
            </w:r>
          </w:p>
        </w:tc>
      </w:tr>
      <w:tr>
        <w:trPr>
          <w:trHeight w:val="340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ind w:left="6" w:firstLine="17"/>
              <w:jc w:val="center"/>
              <w:textAlignment w:val="baseline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/>
              </w:rPr>
              <w:t>9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Hans" w:bidi="zh-CN"/>
              </w:rPr>
            </w:pPr>
            <w:r>
              <w:rPr>
                <w:rFonts w:hint="eastAsia"/>
                <w:szCs w:val="21"/>
                <w:lang w:val="en-US" w:eastAsia="zh-Hans"/>
              </w:rPr>
              <w:t>手套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Hans" w:bidi="zh-CN"/>
              </w:rPr>
            </w:pPr>
            <w:r>
              <w:rPr>
                <w:rFonts w:hint="eastAsia"/>
                <w:szCs w:val="21"/>
                <w:lang w:val="en-US" w:eastAsia="zh-Hans"/>
              </w:rPr>
              <w:t>面纱类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default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Hans"/>
              </w:rPr>
              <w:t>套</w:t>
            </w:r>
            <w:r>
              <w:rPr>
                <w:rFonts w:hint="eastAsia"/>
                <w:szCs w:val="21"/>
              </w:rPr>
              <w:t>/人</w:t>
            </w:r>
          </w:p>
        </w:tc>
      </w:tr>
      <w:tr>
        <w:trPr>
          <w:trHeight w:val="376" w:hRule="atLeast"/>
        </w:trPr>
        <w:tc>
          <w:tcPr>
            <w:tcW w:w="111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default"/>
                <w:szCs w:val="21"/>
              </w:rPr>
              <w:t>10</w:t>
            </w:r>
          </w:p>
        </w:tc>
        <w:tc>
          <w:tcPr>
            <w:tcW w:w="1904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hint="eastAsia"/>
                <w:szCs w:val="21"/>
                <w:lang w:val="en-US" w:eastAsia="zh-Hans"/>
              </w:rPr>
            </w:pPr>
            <w:r>
              <w:rPr>
                <w:rFonts w:hint="eastAsia"/>
                <w:szCs w:val="21"/>
                <w:lang w:val="en-US" w:eastAsia="zh-CN"/>
              </w:rPr>
              <w:t>炒茶专用布搨</w:t>
            </w:r>
          </w:p>
        </w:tc>
        <w:tc>
          <w:tcPr>
            <w:tcW w:w="3620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hint="eastAsia"/>
                <w:szCs w:val="21"/>
                <w:lang w:val="en-US" w:eastAsia="zh-Hans"/>
              </w:rPr>
            </w:pPr>
            <w:r>
              <w:rPr>
                <w:rFonts w:hint="eastAsia"/>
                <w:szCs w:val="21"/>
                <w:lang w:val="en-US" w:eastAsia="zh-CN"/>
              </w:rPr>
              <w:t>标配</w:t>
            </w:r>
          </w:p>
        </w:tc>
        <w:tc>
          <w:tcPr>
            <w:tcW w:w="1663" w:type="dxa"/>
            <w:noWrap w:val="0"/>
            <w:vAlign w:val="bottom"/>
          </w:tcPr>
          <w:p>
            <w:pPr>
              <w:pStyle w:val="20"/>
              <w:spacing w:line="0" w:lineRule="atLeast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 只/人</w:t>
            </w:r>
          </w:p>
        </w:tc>
      </w:tr>
    </w:tbl>
    <w:p>
      <w:pPr>
        <w:snapToGrid w:val="0"/>
        <w:spacing w:before="156" w:beforeLines="50" w:after="160" w:line="400" w:lineRule="exact"/>
        <w:rPr>
          <w:rFonts w:hint="eastAsia" w:ascii="仿宋_GB2312" w:hAnsi="仿宋" w:eastAsia="仿宋_GB2312" w:cs="仿宋"/>
          <w:b/>
          <w:sz w:val="24"/>
        </w:rPr>
      </w:pPr>
      <w:r>
        <w:rPr>
          <w:rFonts w:hint="eastAsia" w:ascii="仿宋_GB2312" w:hAnsi="仿宋" w:eastAsia="仿宋_GB2312" w:cs="仿宋"/>
          <w:b/>
          <w:sz w:val="24"/>
          <w:lang w:val="en-US" w:eastAsia="zh-Hans"/>
        </w:rPr>
        <w:t>七</w:t>
      </w:r>
      <w:r>
        <w:rPr>
          <w:rFonts w:hint="default" w:ascii="仿宋_GB2312" w:hAnsi="仿宋" w:eastAsia="仿宋_GB2312" w:cs="仿宋"/>
          <w:b/>
          <w:sz w:val="24"/>
          <w:lang w:eastAsia="zh-Hans"/>
        </w:rPr>
        <w:t>、</w:t>
      </w:r>
      <w:r>
        <w:rPr>
          <w:rFonts w:hint="eastAsia" w:ascii="仿宋_GB2312" w:hAnsi="仿宋" w:eastAsia="仿宋_GB2312" w:cs="仿宋"/>
          <w:b/>
          <w:sz w:val="24"/>
        </w:rPr>
        <w:t>比赛规则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1．选手凭参赛证入场，采用抽签的方式确定赛位，并确认现场设备的完好。比赛所用材料、工具经抽签后不得擅自变更、调整。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2.选手理论竞赛迟到30分钟，不得进入试场；实操竞赛迟到60分钟，按弃权处理。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3.原料（茶青）统一定量提供，队员根据各自申请制作茶的项目进行相应茶叶的加工，名实相符。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4.选手严格按照规定时间进入比赛场地，对现场条件进行确认，按指令开始制作。选手在制作过程中不得擅自离开，如有特殊情况，需经专家（裁判）同意。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5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. 选手炒制完毕，需对赛场进行清洁、整理，然后离开赛场。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6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.选手应严格遵守操作规程，确保人身及设备安全。设备出现故障时，应举手示意，报告，专家（裁判）可视具体情况给选手补足排除故障耗费的时间。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</w:pP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7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.选手不得将比赛后的样茶带出赛场，违反者按违纪处理，取消奖项评比资格。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 w:cs="仿宋"/>
          <w:b/>
          <w:sz w:val="24"/>
          <w:lang w:val="en-US" w:eastAsia="zh-Hans"/>
        </w:rPr>
      </w:pPr>
      <w:r>
        <w:rPr>
          <w:rFonts w:hint="default" w:ascii="仿宋_GB2312" w:hAnsi="仿宋" w:eastAsia="仿宋_GB2312"/>
          <w:bCs/>
          <w:color w:val="000000"/>
          <w:kern w:val="0"/>
          <w:sz w:val="24"/>
          <w:lang w:eastAsia="zh-CN"/>
        </w:rPr>
        <w:t>8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val="en-US" w:eastAsia="zh-CN"/>
        </w:rPr>
        <w:t>.选手应严格遵守赛场规则，服从专家（裁判），文明竞赛。有作弊行为、扰乱赛场秩序等不文明行为的，取消比赛资格。</w:t>
      </w:r>
    </w:p>
    <w:p>
      <w:pPr>
        <w:snapToGrid w:val="0"/>
        <w:spacing w:before="156" w:beforeLines="50" w:after="160" w:line="400" w:lineRule="exact"/>
        <w:rPr>
          <w:rFonts w:hint="eastAsia" w:ascii="仿宋_GB2312" w:hAnsi="仿宋" w:eastAsia="仿宋_GB2312" w:cs="仿宋"/>
          <w:b/>
          <w:sz w:val="24"/>
        </w:rPr>
      </w:pPr>
      <w:r>
        <w:rPr>
          <w:rFonts w:hint="eastAsia" w:ascii="仿宋_GB2312" w:hAnsi="仿宋" w:eastAsia="仿宋_GB2312" w:cs="仿宋"/>
          <w:b/>
          <w:sz w:val="24"/>
          <w:lang w:val="en-US" w:eastAsia="zh-Hans"/>
        </w:rPr>
        <w:t>八</w:t>
      </w:r>
      <w:r>
        <w:rPr>
          <w:rFonts w:hint="eastAsia" w:ascii="仿宋_GB2312" w:hAnsi="仿宋" w:eastAsia="仿宋_GB2312" w:cs="仿宋"/>
          <w:b/>
          <w:sz w:val="24"/>
        </w:rPr>
        <w:t>、成绩排名与奖项设置</w:t>
      </w:r>
    </w:p>
    <w:p>
      <w:pPr>
        <w:snapToGrid w:val="0"/>
        <w:spacing w:after="160" w:line="400" w:lineRule="exact"/>
        <w:ind w:firstLine="482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（一）成绩排名</w:t>
      </w:r>
    </w:p>
    <w:p>
      <w:pPr>
        <w:snapToGrid w:val="0"/>
        <w:spacing w:after="160" w:line="400" w:lineRule="exact"/>
        <w:ind w:firstLine="48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1</w:t>
      </w:r>
      <w:r>
        <w:rPr>
          <w:rFonts w:ascii="仿宋_GB2312" w:hAnsi="仿宋" w:eastAsia="仿宋_GB2312" w:cs="仿宋"/>
          <w:sz w:val="24"/>
        </w:rPr>
        <w:t>.</w:t>
      </w:r>
      <w:r>
        <w:rPr>
          <w:rFonts w:hint="eastAsia" w:ascii="仿宋_GB2312" w:hAnsi="仿宋" w:eastAsia="仿宋_GB2312" w:cs="仿宋"/>
          <w:sz w:val="24"/>
        </w:rPr>
        <w:t>参赛选手的最终名次依据各项成绩按比例累加从高分到低分排定；各项成绩和总成绩均取小数点后两位。</w:t>
      </w:r>
    </w:p>
    <w:p>
      <w:pPr>
        <w:snapToGrid w:val="0"/>
        <w:spacing w:line="360" w:lineRule="auto"/>
        <w:ind w:firstLine="480" w:firstLineChars="20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_GB2312" w:eastAsia="仿宋_GB2312"/>
          <w:sz w:val="24"/>
          <w:lang w:val="zh-CN"/>
        </w:rPr>
        <w:t>2</w:t>
      </w:r>
      <w:r>
        <w:rPr>
          <w:rFonts w:ascii="仿宋_GB2312" w:hAnsi="仿宋_GB2312" w:eastAsia="仿宋_GB2312"/>
          <w:sz w:val="24"/>
          <w:lang w:val="zh-CN"/>
        </w:rPr>
        <w:t>.</w:t>
      </w:r>
      <w:r>
        <w:rPr>
          <w:rFonts w:hint="eastAsia" w:ascii="仿宋_GB2312" w:hAnsi="仿宋_GB2312" w:eastAsia="仿宋_GB2312"/>
          <w:sz w:val="24"/>
          <w:lang w:val="zh-CN"/>
        </w:rPr>
        <w:t>参赛选手竞赛总分相同时，依次以实践操作成绩、理论知识成绩高者名次在前；如再相同，则名次并列。</w:t>
      </w:r>
    </w:p>
    <w:p>
      <w:pPr>
        <w:snapToGrid w:val="0"/>
        <w:spacing w:after="160" w:line="400" w:lineRule="exact"/>
        <w:ind w:firstLine="482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（二）奖项设置</w:t>
      </w:r>
    </w:p>
    <w:p>
      <w:pPr>
        <w:snapToGrid w:val="0"/>
        <w:spacing w:after="160" w:line="400" w:lineRule="exact"/>
        <w:ind w:firstLine="48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本赛项的奖项设个人奖。设奖比例为：以赛项实际参赛队总数为基数，一、二、三等奖获奖比例分别为 10%、20%、30%（小数点后四舍五入）。</w:t>
      </w:r>
    </w:p>
    <w:p>
      <w:pPr>
        <w:spacing w:line="360" w:lineRule="auto"/>
        <w:ind w:firstLine="3360" w:firstLineChars="1400"/>
        <w:rPr>
          <w:rFonts w:hint="eastAsia" w:ascii="仿宋_GB2312" w:hAnsi="仿宋_GB2312" w:eastAsia="仿宋_GB2312"/>
          <w:sz w:val="24"/>
          <w:lang w:val="zh-CN"/>
        </w:rPr>
      </w:pPr>
      <w:r>
        <w:rPr>
          <w:rFonts w:hint="eastAsia" w:ascii="仿宋_GB2312" w:hAnsi="仿宋_GB2312" w:eastAsia="仿宋_GB2312"/>
          <w:sz w:val="24"/>
          <w:lang w:val="zh-CN"/>
        </w:rPr>
        <w:t>温州市中等职业学校教师职业技能大赛组委会</w:t>
      </w:r>
    </w:p>
    <w:p>
      <w:pPr>
        <w:spacing w:line="360" w:lineRule="auto"/>
        <w:jc w:val="right"/>
        <w:rPr>
          <w:rFonts w:hint="eastAsia" w:ascii="仿宋_GB2312" w:hAnsi="仿宋_GB2312" w:eastAsia="仿宋_GB2312"/>
          <w:sz w:val="24"/>
          <w:lang w:val="zh-CN"/>
        </w:rPr>
      </w:pPr>
      <w:r>
        <w:rPr>
          <w:rFonts w:hint="eastAsia" w:ascii="仿宋_GB2312" w:hAnsi="仿宋_GB2312" w:eastAsia="仿宋_GB2312"/>
          <w:sz w:val="24"/>
          <w:lang w:val="zh-CN"/>
        </w:rPr>
        <w:t xml:space="preserve"> 2022年5月13日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小标宋">
    <w:altName w:val="苹方-简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0000000000000000000"/>
    <w:charset w:val="00"/>
    <w:family w:val="roman"/>
    <w:pitch w:val="default"/>
    <w:sig w:usb0="00000000" w:usb1="00000000" w:usb2="00000010" w:usb3="00000000" w:csb0="00040000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Toman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90204"/>
    <w:charset w:val="86"/>
    <w:family w:val="auto"/>
    <w:pitch w:val="default"/>
    <w:sig w:usb0="E0000AFF" w:usb1="00007843" w:usb2="00000001" w:usb3="00000000" w:csb0="400001BF" w:csb1="DFF70000"/>
  </w:font>
  <w:font w:name="Microsoft JhengHei">
    <w:altName w:val="汉仪中简黑简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SimHei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简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標楷體">
    <w:panose1 w:val="02010601000101010101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66D1"/>
    <w:multiLevelType w:val="singleLevel"/>
    <w:tmpl w:val="628266D1"/>
    <w:lvl w:ilvl="0" w:tentative="0">
      <w:start w:val="5"/>
      <w:numFmt w:val="chineseCounting"/>
      <w:suff w:val="nothing"/>
      <w:lvlText w:val="%1、"/>
      <w:lvlJc w:val="left"/>
    </w:lvl>
  </w:abstractNum>
  <w:abstractNum w:abstractNumId="1">
    <w:nsid w:val="6296B534"/>
    <w:multiLevelType w:val="singleLevel"/>
    <w:tmpl w:val="6296B53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xYmI4NWMyYzg2ODZhOGQ2ODQ1MmEzMWM2ZTc2ZTYifQ=="/>
  </w:docVars>
  <w:rsids>
    <w:rsidRoot w:val="00642C85"/>
    <w:rsid w:val="00003D7A"/>
    <w:rsid w:val="00031129"/>
    <w:rsid w:val="00056CA6"/>
    <w:rsid w:val="00076865"/>
    <w:rsid w:val="00096281"/>
    <w:rsid w:val="00097154"/>
    <w:rsid w:val="00107BED"/>
    <w:rsid w:val="00130A09"/>
    <w:rsid w:val="0013238E"/>
    <w:rsid w:val="00143481"/>
    <w:rsid w:val="00166423"/>
    <w:rsid w:val="00170AE8"/>
    <w:rsid w:val="00171ED5"/>
    <w:rsid w:val="00183E7A"/>
    <w:rsid w:val="001957CB"/>
    <w:rsid w:val="001A2E14"/>
    <w:rsid w:val="001B0C77"/>
    <w:rsid w:val="00221180"/>
    <w:rsid w:val="002351EC"/>
    <w:rsid w:val="00254385"/>
    <w:rsid w:val="002C2611"/>
    <w:rsid w:val="002C30F7"/>
    <w:rsid w:val="002E153B"/>
    <w:rsid w:val="003148D1"/>
    <w:rsid w:val="003148E1"/>
    <w:rsid w:val="00324232"/>
    <w:rsid w:val="0034250D"/>
    <w:rsid w:val="00370FCF"/>
    <w:rsid w:val="003763C4"/>
    <w:rsid w:val="00392AA7"/>
    <w:rsid w:val="003B2CB7"/>
    <w:rsid w:val="003B7D9C"/>
    <w:rsid w:val="003D22D7"/>
    <w:rsid w:val="003F5228"/>
    <w:rsid w:val="004157A1"/>
    <w:rsid w:val="00427421"/>
    <w:rsid w:val="00427E0B"/>
    <w:rsid w:val="00430553"/>
    <w:rsid w:val="00442557"/>
    <w:rsid w:val="00444E41"/>
    <w:rsid w:val="0047355D"/>
    <w:rsid w:val="00473BBE"/>
    <w:rsid w:val="0047656C"/>
    <w:rsid w:val="004875D1"/>
    <w:rsid w:val="00490CFA"/>
    <w:rsid w:val="004966C8"/>
    <w:rsid w:val="004A4159"/>
    <w:rsid w:val="004B1B1C"/>
    <w:rsid w:val="004B4BA7"/>
    <w:rsid w:val="004C16BA"/>
    <w:rsid w:val="004F253F"/>
    <w:rsid w:val="00504CDE"/>
    <w:rsid w:val="00515391"/>
    <w:rsid w:val="00523B1A"/>
    <w:rsid w:val="00525A63"/>
    <w:rsid w:val="005315F0"/>
    <w:rsid w:val="00551C9E"/>
    <w:rsid w:val="00557E0F"/>
    <w:rsid w:val="00574B0D"/>
    <w:rsid w:val="0058569B"/>
    <w:rsid w:val="005858D6"/>
    <w:rsid w:val="00585B33"/>
    <w:rsid w:val="00586D46"/>
    <w:rsid w:val="005937F5"/>
    <w:rsid w:val="005A00C4"/>
    <w:rsid w:val="005B412A"/>
    <w:rsid w:val="005C22C2"/>
    <w:rsid w:val="005C6696"/>
    <w:rsid w:val="005D69FE"/>
    <w:rsid w:val="005F6A1A"/>
    <w:rsid w:val="006011BE"/>
    <w:rsid w:val="00625867"/>
    <w:rsid w:val="00636EBC"/>
    <w:rsid w:val="006404C2"/>
    <w:rsid w:val="00642C85"/>
    <w:rsid w:val="00643703"/>
    <w:rsid w:val="00643E6A"/>
    <w:rsid w:val="00645936"/>
    <w:rsid w:val="00647AFE"/>
    <w:rsid w:val="0068766A"/>
    <w:rsid w:val="006904B1"/>
    <w:rsid w:val="006A5FF7"/>
    <w:rsid w:val="006C7699"/>
    <w:rsid w:val="006E2BAB"/>
    <w:rsid w:val="006F4678"/>
    <w:rsid w:val="006F5F0A"/>
    <w:rsid w:val="00713500"/>
    <w:rsid w:val="007232F7"/>
    <w:rsid w:val="00725E75"/>
    <w:rsid w:val="007459AC"/>
    <w:rsid w:val="00757DF0"/>
    <w:rsid w:val="00760E7B"/>
    <w:rsid w:val="00771D44"/>
    <w:rsid w:val="007728A8"/>
    <w:rsid w:val="00787033"/>
    <w:rsid w:val="007A1394"/>
    <w:rsid w:val="007B1C38"/>
    <w:rsid w:val="007C5E00"/>
    <w:rsid w:val="007D415D"/>
    <w:rsid w:val="007D4566"/>
    <w:rsid w:val="007D5E23"/>
    <w:rsid w:val="0083799C"/>
    <w:rsid w:val="00842C53"/>
    <w:rsid w:val="00872D0B"/>
    <w:rsid w:val="00880719"/>
    <w:rsid w:val="008931FA"/>
    <w:rsid w:val="008B1A63"/>
    <w:rsid w:val="008D4917"/>
    <w:rsid w:val="00907691"/>
    <w:rsid w:val="00940A78"/>
    <w:rsid w:val="00977704"/>
    <w:rsid w:val="00984FFB"/>
    <w:rsid w:val="0098778F"/>
    <w:rsid w:val="009968AC"/>
    <w:rsid w:val="009A34A8"/>
    <w:rsid w:val="009A7FD8"/>
    <w:rsid w:val="009C7B68"/>
    <w:rsid w:val="00A03EA6"/>
    <w:rsid w:val="00A17999"/>
    <w:rsid w:val="00A246D8"/>
    <w:rsid w:val="00A51CF4"/>
    <w:rsid w:val="00A52A54"/>
    <w:rsid w:val="00A9513A"/>
    <w:rsid w:val="00A96304"/>
    <w:rsid w:val="00A97254"/>
    <w:rsid w:val="00AB4071"/>
    <w:rsid w:val="00AE3758"/>
    <w:rsid w:val="00B1121B"/>
    <w:rsid w:val="00B14F73"/>
    <w:rsid w:val="00B1514F"/>
    <w:rsid w:val="00B27FCD"/>
    <w:rsid w:val="00B31689"/>
    <w:rsid w:val="00B912AD"/>
    <w:rsid w:val="00B979CE"/>
    <w:rsid w:val="00BA5845"/>
    <w:rsid w:val="00BD117D"/>
    <w:rsid w:val="00BD1E6C"/>
    <w:rsid w:val="00C00396"/>
    <w:rsid w:val="00C10535"/>
    <w:rsid w:val="00C16116"/>
    <w:rsid w:val="00C24A14"/>
    <w:rsid w:val="00C52422"/>
    <w:rsid w:val="00C63283"/>
    <w:rsid w:val="00C76048"/>
    <w:rsid w:val="00C76394"/>
    <w:rsid w:val="00C96A78"/>
    <w:rsid w:val="00CA0641"/>
    <w:rsid w:val="00CD1D7A"/>
    <w:rsid w:val="00CE7155"/>
    <w:rsid w:val="00D165BC"/>
    <w:rsid w:val="00D26E10"/>
    <w:rsid w:val="00D541C9"/>
    <w:rsid w:val="00D63E13"/>
    <w:rsid w:val="00D76B30"/>
    <w:rsid w:val="00D9423A"/>
    <w:rsid w:val="00D96E3F"/>
    <w:rsid w:val="00DC5370"/>
    <w:rsid w:val="00DE460C"/>
    <w:rsid w:val="00E13455"/>
    <w:rsid w:val="00E41F9B"/>
    <w:rsid w:val="00E56F5F"/>
    <w:rsid w:val="00E7061F"/>
    <w:rsid w:val="00E73008"/>
    <w:rsid w:val="00E90798"/>
    <w:rsid w:val="00EE2833"/>
    <w:rsid w:val="00F52041"/>
    <w:rsid w:val="00F57C44"/>
    <w:rsid w:val="00F6569B"/>
    <w:rsid w:val="00F86D40"/>
    <w:rsid w:val="00F9329D"/>
    <w:rsid w:val="00FA2E2F"/>
    <w:rsid w:val="00FA63BD"/>
    <w:rsid w:val="00FC713C"/>
    <w:rsid w:val="00FD0AC3"/>
    <w:rsid w:val="00FD27AF"/>
    <w:rsid w:val="00FF50F3"/>
    <w:rsid w:val="106E340B"/>
    <w:rsid w:val="3B9F8737"/>
    <w:rsid w:val="3FFFFC03"/>
    <w:rsid w:val="5FAE320A"/>
    <w:rsid w:val="758DC01B"/>
    <w:rsid w:val="75976294"/>
    <w:rsid w:val="79F6788C"/>
    <w:rsid w:val="9DF74B3D"/>
    <w:rsid w:val="B35F13EA"/>
    <w:rsid w:val="BDBC039B"/>
    <w:rsid w:val="EFEFAC5B"/>
    <w:rsid w:val="F6D54642"/>
    <w:rsid w:val="F7F69B48"/>
    <w:rsid w:val="FDFB1E00"/>
    <w:rsid w:val="FEFD0538"/>
    <w:rsid w:val="FFB7B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Autospacing="1" w:afterAutospacing="1" w:line="360" w:lineRule="auto"/>
      <w:outlineLvl w:val="0"/>
    </w:pPr>
    <w:rPr>
      <w:rFonts w:ascii="Calibri" w:hAnsi="Calibri" w:eastAsia="仿宋"/>
      <w:b/>
      <w:bCs/>
      <w:kern w:val="44"/>
      <w:sz w:val="28"/>
      <w:szCs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widowControl w:val="0"/>
      <w:adjustRightInd/>
      <w:snapToGrid/>
      <w:spacing w:after="0"/>
    </w:pPr>
    <w:rPr>
      <w:rFonts w:ascii="Calibri" w:hAnsi="Calibri" w:eastAsia="宋体"/>
      <w:kern w:val="2"/>
      <w:sz w:val="21"/>
    </w:rPr>
  </w:style>
  <w:style w:type="paragraph" w:styleId="4">
    <w:name w:val="Body Text"/>
    <w:basedOn w:val="1"/>
    <w:unhideWhenUsed/>
    <w:qFormat/>
    <w:uiPriority w:val="99"/>
    <w:pPr>
      <w:widowControl w:val="0"/>
      <w:adjustRightInd/>
      <w:snapToGrid/>
      <w:spacing w:after="0" w:line="0" w:lineRule="atLeast"/>
      <w:jc w:val="both"/>
    </w:pPr>
    <w:rPr>
      <w:rFonts w:ascii="Times New Roman" w:hAnsi="Times New Roman" w:eastAsia="小标宋"/>
      <w:kern w:val="2"/>
      <w:sz w:val="44"/>
      <w:szCs w:val="20"/>
    </w:r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7"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 w:eastAsiaTheme="minorEastAsia"/>
      <w:b/>
      <w:bCs/>
      <w:kern w:val="28"/>
      <w:sz w:val="32"/>
      <w:szCs w:val="32"/>
    </w:rPr>
  </w:style>
  <w:style w:type="paragraph" w:styleId="9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标题 1 字符"/>
    <w:basedOn w:val="10"/>
    <w:link w:val="2"/>
    <w:qFormat/>
    <w:uiPriority w:val="0"/>
    <w:rPr>
      <w:rFonts w:ascii="Calibri" w:hAnsi="Calibri" w:eastAsia="仿宋" w:cs="Times New Roman"/>
      <w:b/>
      <w:bCs/>
      <w:kern w:val="44"/>
      <w:sz w:val="28"/>
      <w:szCs w:val="28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副标题 字符1"/>
    <w:link w:val="8"/>
    <w:qFormat/>
    <w:uiPriority w:val="0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18">
    <w:name w:val="副标题 字符"/>
    <w:basedOn w:val="10"/>
    <w:qFormat/>
    <w:uiPriority w:val="11"/>
    <w:rPr>
      <w:b/>
      <w:bCs/>
      <w:kern w:val="28"/>
      <w:sz w:val="32"/>
      <w:szCs w:val="32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Table Paragraph"/>
    <w:basedOn w:val="1"/>
    <w:qFormat/>
    <w:uiPriority w:val="1"/>
    <w:pPr>
      <w:widowControl w:val="0"/>
      <w:adjustRightInd/>
      <w:snapToGrid/>
      <w:spacing w:after="0"/>
      <w:jc w:val="both"/>
    </w:pPr>
    <w:rPr>
      <w:rFonts w:ascii="仿宋" w:hAnsi="仿宋" w:eastAsia="仿宋" w:cs="仿宋"/>
      <w:kern w:val="2"/>
      <w:sz w:val="21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994</Words>
  <Characters>5671</Characters>
  <Lines>47</Lines>
  <Paragraphs>13</Paragraphs>
  <ScaleCrop>false</ScaleCrop>
  <LinksUpToDate>false</LinksUpToDate>
  <CharactersWithSpaces>6652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2022-05-16T04:04:00Z</dcterms:created>
  <dc:creator>Administrator</dc:creator>
  <cp:lastModifiedBy>linxiaotao</cp:lastModifiedBy>
  <dcterms:modified xsi:type="dcterms:W3CDTF">2022-06-01T08:36:11Z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  <property fmtid="{D5CDD505-2E9C-101B-9397-08002B2CF9AE}" pid="3" name="ICV">
    <vt:lpwstr>E0716506D4F646B6AA3DF2546C3F8A49</vt:lpwstr>
  </property>
</Properties>
</file>